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BC524">
      <w:pPr>
        <w:pStyle w:val="11"/>
        <w:spacing w:before="0" w:after="0"/>
        <w:ind w:firstLine="0" w:firstLineChars="0"/>
        <w:rPr>
          <w:rFonts w:ascii="Times New Roman" w:hAnsi="Times New Roman" w:eastAsia="方正小标宋简体"/>
          <w:b w:val="0"/>
        </w:rPr>
      </w:pPr>
      <w:r>
        <w:rPr>
          <w:rFonts w:hint="eastAsia" w:ascii="Times New Roman" w:hAnsi="Times New Roman" w:eastAsia="方正小标宋简体"/>
          <w:b w:val="0"/>
        </w:rPr>
        <w:t>低温镇痛设备注册审查指导原</w:t>
      </w:r>
      <w:r>
        <w:rPr>
          <w:rFonts w:ascii="Times New Roman" w:hAnsi="Times New Roman" w:eastAsia="方正小标宋简体"/>
          <w:b w:val="0"/>
        </w:rPr>
        <w:t>则</w:t>
      </w:r>
    </w:p>
    <w:p w14:paraId="1176A583">
      <w:pPr>
        <w:spacing w:line="540" w:lineRule="exact"/>
        <w:ind w:firstLine="640"/>
      </w:pPr>
    </w:p>
    <w:p w14:paraId="0FB8453F">
      <w:pPr>
        <w:spacing w:line="520" w:lineRule="exact"/>
        <w:ind w:firstLine="640"/>
      </w:pPr>
      <w:r>
        <w:t>本指导原则旨在指导注册申请人对</w:t>
      </w:r>
      <w:r>
        <w:rPr>
          <w:rFonts w:hint="eastAsia"/>
        </w:rPr>
        <w:t>低温镇痛设备</w:t>
      </w:r>
      <w:r>
        <w:t>注册申</w:t>
      </w:r>
      <w:bookmarkStart w:id="11" w:name="_GoBack"/>
      <w:bookmarkEnd w:id="11"/>
      <w:r>
        <w:t>报资料的准备及撰写，同时也为技术审评部门审查注册申报资料提供参考。</w:t>
      </w:r>
    </w:p>
    <w:p w14:paraId="2B452D46">
      <w:pPr>
        <w:spacing w:line="520" w:lineRule="exact"/>
        <w:ind w:firstLine="640"/>
      </w:pPr>
      <w:r>
        <w:t>本指导原则是对</w:t>
      </w:r>
      <w:r>
        <w:rPr>
          <w:rFonts w:hint="eastAsia"/>
        </w:rPr>
        <w:t>低温镇痛设备</w:t>
      </w:r>
      <w:r>
        <w:t>的一般要求，申请人应依据产品的具体特性确定其中内容是否适用。若不适用，需具体阐述理由及相应的科学依据，并依据产品的具体特性对注册申报资料的内容进行充实和细化。</w:t>
      </w:r>
    </w:p>
    <w:p w14:paraId="17E6906D">
      <w:pPr>
        <w:spacing w:line="520" w:lineRule="exact"/>
        <w:ind w:firstLine="640"/>
      </w:pPr>
      <w: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14:paraId="033F6FB5">
      <w:pPr>
        <w:spacing w:line="520" w:lineRule="exact"/>
        <w:ind w:firstLine="640"/>
      </w:pPr>
      <w:r>
        <w:t>本指导原则是在现行法规和标准体系以及当前认知水平下制定，随着法规和标准的不断完善，以及科学技术的不断发展，相关内容也将适时进行调整。</w:t>
      </w:r>
    </w:p>
    <w:p w14:paraId="33AD1885">
      <w:pPr>
        <w:pStyle w:val="2"/>
        <w:ind w:firstLine="640"/>
      </w:pPr>
      <w:r>
        <w:t>一、适用范围</w:t>
      </w:r>
    </w:p>
    <w:p w14:paraId="12926EC7">
      <w:pPr>
        <w:spacing w:line="520" w:lineRule="exact"/>
        <w:ind w:firstLine="640"/>
        <w:rPr>
          <w:u w:val="none"/>
        </w:rPr>
      </w:pPr>
      <w:r>
        <w:t>本指导原则适用于</w:t>
      </w:r>
      <w:r>
        <w:rPr>
          <w:rFonts w:hint="eastAsia"/>
        </w:rPr>
        <w:t>低温镇痛设备，含二氧化碳类设备和冷空气类设备</w:t>
      </w:r>
      <w:r>
        <w:t>。</w:t>
      </w:r>
      <w:r>
        <w:rPr>
          <w:rFonts w:hint="default"/>
          <w:u w:val="none"/>
        </w:rPr>
        <w:t>用于缓解急性软组织损伤引起的肿胀和疼痛。根据2017版《医疗器械分类目录》，该类设备按第二类医疗器械管理，分类编码为09（物理治疗器械）-02（温热（冷）治疗设备/器具）。</w:t>
      </w:r>
    </w:p>
    <w:p w14:paraId="16B08536">
      <w:pPr>
        <w:spacing w:line="520" w:lineRule="exact"/>
        <w:ind w:firstLine="640"/>
        <w:rPr>
          <w:rFonts w:eastAsia="微软雅黑"/>
        </w:rPr>
      </w:pPr>
      <w:r>
        <w:rPr>
          <w:rFonts w:hint="eastAsia"/>
        </w:rPr>
        <w:t>二氧化碳类设备通常由主机、二氧化碳输送管、治疗手柄和红外温度传感器等组成，不含二氧化碳气瓶。液体二氧化碳从治疗手柄喷嘴喷射到治疗部位的完好皮肤表面，在治疗过程中，红外传感器实时监测治疗部位皮肤表面温度。</w:t>
      </w:r>
    </w:p>
    <w:p w14:paraId="4E594EA6">
      <w:pPr>
        <w:spacing w:line="520" w:lineRule="exact"/>
        <w:ind w:firstLine="640"/>
      </w:pPr>
      <w:r>
        <w:rPr>
          <w:rFonts w:hint="eastAsia"/>
        </w:rPr>
        <w:t>冷空气类设备通常由主机（含空气压缩机、冷凝器、蒸发室）、冷空气输出管、治疗手柄、红外温度传感器等组成。依靠空气压缩产生低温。</w:t>
      </w:r>
    </w:p>
    <w:p w14:paraId="696949C5">
      <w:pPr>
        <w:pStyle w:val="2"/>
        <w:ind w:firstLine="640"/>
      </w:pPr>
      <w:r>
        <w:t>二、注册审查要点</w:t>
      </w:r>
    </w:p>
    <w:p w14:paraId="07400800">
      <w:pPr>
        <w:pStyle w:val="3"/>
        <w:ind w:firstLine="640"/>
        <w:rPr>
          <w:rFonts w:ascii="Times New Roman" w:hAnsi="Times New Roman"/>
          <w:bCs w:val="0"/>
        </w:rPr>
      </w:pPr>
      <w:r>
        <w:rPr>
          <w:rFonts w:ascii="Times New Roman" w:hAnsi="Times New Roman"/>
          <w:bCs w:val="0"/>
        </w:rPr>
        <w:t>（一）监管信息</w:t>
      </w:r>
    </w:p>
    <w:p w14:paraId="3E7F9E06">
      <w:pPr>
        <w:overflowPunct w:val="0"/>
        <w:autoSpaceDE w:val="0"/>
        <w:autoSpaceDN w:val="0"/>
        <w:spacing w:line="520" w:lineRule="exact"/>
        <w:ind w:firstLine="640"/>
      </w:pPr>
      <w:r>
        <w:rPr>
          <w:rFonts w:hint="eastAsia"/>
          <w:color w:val="000000"/>
          <w:szCs w:val="32"/>
        </w:rPr>
        <w:t>明确申请表中</w:t>
      </w:r>
      <w:r>
        <w:rPr>
          <w:snapToGrid w:val="0"/>
          <w:color w:val="000000"/>
          <w:kern w:val="0"/>
          <w:szCs w:val="32"/>
        </w:rPr>
        <w:t>产品名称</w:t>
      </w:r>
      <w:r>
        <w:rPr>
          <w:rFonts w:hint="eastAsia"/>
          <w:snapToGrid w:val="0"/>
          <w:color w:val="000000"/>
          <w:kern w:val="0"/>
          <w:szCs w:val="32"/>
        </w:rPr>
        <w:t>、</w:t>
      </w:r>
      <w:r>
        <w:rPr>
          <w:snapToGrid w:val="0"/>
          <w:color w:val="000000"/>
          <w:kern w:val="0"/>
          <w:szCs w:val="32"/>
        </w:rPr>
        <w:t>管理类别、分类编码</w:t>
      </w:r>
      <w:r>
        <w:rPr>
          <w:rFonts w:hint="eastAsia"/>
          <w:snapToGrid w:val="0"/>
          <w:color w:val="000000"/>
          <w:kern w:val="0"/>
          <w:szCs w:val="32"/>
        </w:rPr>
        <w:t>、型号规格、结构组成等信息</w:t>
      </w:r>
      <w:r>
        <w:rPr>
          <w:snapToGrid w:val="0"/>
          <w:color w:val="000000"/>
          <w:kern w:val="0"/>
          <w:szCs w:val="32"/>
        </w:rPr>
        <w:t>。</w:t>
      </w:r>
    </w:p>
    <w:p w14:paraId="40DE2498">
      <w:pPr>
        <w:pStyle w:val="4"/>
        <w:ind w:firstLine="640" w:firstLineChars="200"/>
        <w:rPr>
          <w:rFonts w:ascii="Times New Roman"/>
          <w:bCs w:val="0"/>
        </w:rPr>
      </w:pPr>
      <w:r>
        <w:rPr>
          <w:rFonts w:ascii="Times New Roman"/>
          <w:bCs w:val="0"/>
        </w:rPr>
        <w:t>1.产品名称</w:t>
      </w:r>
    </w:p>
    <w:p w14:paraId="252EC1F3">
      <w:pPr>
        <w:spacing w:line="520" w:lineRule="exact"/>
        <w:ind w:firstLine="640"/>
      </w:pPr>
      <w:r>
        <w:rPr>
          <w:rFonts w:hint="eastAsia"/>
        </w:rPr>
        <w:t>产品命名需符合《医疗器械通用名称命名规则》及《物理治疗器械通用名称命名指导原则》的要求</w:t>
      </w:r>
      <w:r>
        <w:t>，</w:t>
      </w:r>
      <w:r>
        <w:rPr>
          <w:rFonts w:hint="eastAsia"/>
        </w:rPr>
        <w:t>产品通用名称由核心词和特征词组成，</w:t>
      </w:r>
      <w:r>
        <w:t>对于具有特殊功能的，可适当增加特征词，但不应使用未体现任何技术特点、存在歧义或误导性、商业性的描述内容。</w:t>
      </w:r>
    </w:p>
    <w:p w14:paraId="0DD33BE1">
      <w:pPr>
        <w:spacing w:line="520" w:lineRule="exact"/>
        <w:ind w:firstLine="640"/>
      </w:pPr>
      <w:r>
        <w:rPr>
          <w:szCs w:val="28"/>
        </w:rPr>
        <w:t>产品</w:t>
      </w:r>
      <w:r>
        <w:rPr>
          <w:rFonts w:hint="eastAsia"/>
          <w:szCs w:val="28"/>
        </w:rPr>
        <w:t>常用的名称举例如下</w:t>
      </w:r>
      <w:r>
        <w:rPr>
          <w:rFonts w:hint="eastAsia"/>
        </w:rPr>
        <w:t>：低温镇痛仪、便携式低温镇痛仪、冷空气</w:t>
      </w:r>
      <w:r>
        <w:rPr>
          <w:rFonts w:hint="eastAsia"/>
          <w:color w:val="000000" w:themeColor="text1"/>
          <w14:textFill>
            <w14:solidFill>
              <w14:schemeClr w14:val="tx1"/>
            </w14:solidFill>
          </w14:textFill>
        </w:rPr>
        <w:t>镇痛仪</w:t>
      </w:r>
      <w:r>
        <w:rPr>
          <w:color w:val="000000" w:themeColor="text1"/>
          <w14:textFill>
            <w14:solidFill>
              <w14:schemeClr w14:val="tx1"/>
            </w14:solidFill>
          </w14:textFill>
        </w:rPr>
        <w:t>。</w:t>
      </w:r>
    </w:p>
    <w:p w14:paraId="7BACEDD8">
      <w:pPr>
        <w:pStyle w:val="4"/>
        <w:ind w:firstLine="640" w:firstLineChars="200"/>
        <w:rPr>
          <w:rFonts w:ascii="Times New Roman"/>
          <w:bCs w:val="0"/>
        </w:rPr>
      </w:pPr>
      <w:r>
        <w:rPr>
          <w:rFonts w:hint="eastAsia" w:ascii="Times New Roman"/>
          <w:bCs w:val="0"/>
        </w:rPr>
        <w:t>2</w:t>
      </w:r>
      <w:r>
        <w:rPr>
          <w:rFonts w:ascii="Times New Roman"/>
          <w:bCs w:val="0"/>
        </w:rPr>
        <w:t>.注册单元划分</w:t>
      </w:r>
    </w:p>
    <w:p w14:paraId="342D5FC5">
      <w:pPr>
        <w:spacing w:line="520" w:lineRule="exact"/>
        <w:ind w:firstLine="640"/>
      </w:pPr>
      <w:r>
        <w:t>注册单元划分应符合《医疗器械注册与备案管理办法》第一百一十一条及《医疗器械注册单元划分指导原则》的要求，原则上以产品的技术原理、结构组成、性能指标和适用范围为划分依据。</w:t>
      </w:r>
    </w:p>
    <w:p w14:paraId="4BBFDC69">
      <w:pPr>
        <w:spacing w:line="520" w:lineRule="exact"/>
        <w:ind w:firstLine="640"/>
      </w:pPr>
      <w:r>
        <w:t>技术原理</w:t>
      </w:r>
      <w:r>
        <w:rPr>
          <w:rFonts w:hint="eastAsia"/>
        </w:rPr>
        <w:t>不同的</w:t>
      </w:r>
      <w:r>
        <w:rPr>
          <w:rFonts w:hint="eastAsia"/>
          <w:spacing w:val="-4"/>
          <w:szCs w:val="28"/>
        </w:rPr>
        <w:t>应划分为不同注册单元，例</w:t>
      </w:r>
      <w:r>
        <w:rPr>
          <w:rFonts w:hint="eastAsia"/>
        </w:rPr>
        <w:t>如冷空气设备</w:t>
      </w:r>
      <w:r>
        <w:t>和</w:t>
      </w:r>
      <w:r>
        <w:rPr>
          <w:rFonts w:hint="eastAsia"/>
        </w:rPr>
        <w:t>二氧化碳类设备</w:t>
      </w:r>
      <w:r>
        <w:t>应划分为不同的注册单元</w:t>
      </w:r>
      <w:r>
        <w:rPr>
          <w:rFonts w:hint="eastAsia"/>
        </w:rPr>
        <w:t>。</w:t>
      </w:r>
    </w:p>
    <w:p w14:paraId="1A778BCD">
      <w:pPr>
        <w:spacing w:line="520" w:lineRule="exact"/>
        <w:ind w:firstLine="624"/>
      </w:pPr>
      <w:r>
        <w:rPr>
          <w:rFonts w:hint="eastAsia"/>
          <w:spacing w:val="-4"/>
          <w:szCs w:val="28"/>
        </w:rPr>
        <w:t>结构形式不同的设备应划分为不同注册单元，例如</w:t>
      </w:r>
      <w:r>
        <w:rPr>
          <w:bCs/>
          <w:szCs w:val="28"/>
        </w:rPr>
        <w:t>便携式</w:t>
      </w:r>
      <w:r>
        <w:rPr>
          <w:rFonts w:hint="eastAsia"/>
          <w:spacing w:val="-4"/>
          <w:szCs w:val="28"/>
        </w:rPr>
        <w:t>设备</w:t>
      </w:r>
      <w:r>
        <w:rPr>
          <w:rFonts w:hint="eastAsia"/>
          <w:bCs/>
          <w:szCs w:val="28"/>
        </w:rPr>
        <w:t>与</w:t>
      </w:r>
      <w:r>
        <w:rPr>
          <w:bCs/>
          <w:szCs w:val="28"/>
        </w:rPr>
        <w:t>台车式</w:t>
      </w:r>
      <w:r>
        <w:rPr>
          <w:rFonts w:hint="eastAsia"/>
          <w:bCs/>
          <w:szCs w:val="28"/>
        </w:rPr>
        <w:t>设备</w:t>
      </w:r>
      <w:r>
        <w:rPr>
          <w:rFonts w:hint="eastAsia"/>
          <w:spacing w:val="-4"/>
          <w:szCs w:val="28"/>
        </w:rPr>
        <w:t>应归入不同的注册单元。</w:t>
      </w:r>
    </w:p>
    <w:p w14:paraId="773B0146">
      <w:pPr>
        <w:pStyle w:val="3"/>
        <w:ind w:firstLine="640"/>
        <w:rPr>
          <w:rFonts w:ascii="Times New Roman" w:hAnsi="Times New Roman"/>
          <w:bCs w:val="0"/>
        </w:rPr>
      </w:pPr>
      <w:r>
        <w:rPr>
          <w:rFonts w:ascii="Times New Roman" w:hAnsi="Times New Roman"/>
          <w:bCs w:val="0"/>
        </w:rPr>
        <w:t>（二）综述资料</w:t>
      </w:r>
    </w:p>
    <w:p w14:paraId="2DACD769">
      <w:pPr>
        <w:pStyle w:val="4"/>
        <w:ind w:firstLine="640" w:firstLineChars="200"/>
        <w:rPr>
          <w:rFonts w:ascii="Times New Roman"/>
        </w:rPr>
      </w:pPr>
      <w:r>
        <w:rPr>
          <w:rFonts w:ascii="Times New Roman"/>
          <w:bCs w:val="0"/>
        </w:rPr>
        <w:t>1.</w:t>
      </w:r>
      <w:r>
        <w:rPr>
          <w:rFonts w:ascii="Times New Roman"/>
        </w:rPr>
        <w:t>概述</w:t>
      </w:r>
    </w:p>
    <w:p w14:paraId="5AD0B015">
      <w:pPr>
        <w:spacing w:line="520" w:lineRule="exact"/>
        <w:ind w:firstLine="640"/>
      </w:pPr>
      <w:r>
        <w:t>申请人</w:t>
      </w:r>
      <w:r>
        <w:rPr>
          <w:rFonts w:hint="eastAsia"/>
        </w:rPr>
        <w:t>应</w:t>
      </w:r>
      <w:r>
        <w:t>描述</w:t>
      </w:r>
      <w:r>
        <w:rPr>
          <w:rFonts w:hint="eastAsia"/>
        </w:rPr>
        <w:t>低温镇痛设备</w:t>
      </w:r>
      <w:r>
        <w:t>的通用名称及确定依据、</w:t>
      </w:r>
      <w:r>
        <w:rPr>
          <w:rFonts w:hint="eastAsia"/>
        </w:rPr>
        <w:t>管理类别、</w:t>
      </w:r>
      <w:r>
        <w:t>适用范围。如适用，申请人应提供</w:t>
      </w:r>
      <w:r>
        <w:rPr>
          <w:rFonts w:hint="eastAsia"/>
        </w:rPr>
        <w:t>低温镇痛设备</w:t>
      </w:r>
      <w:r>
        <w:t>的背景信息概述，如：申报产品的历史概述、历次提交的信息，与其他经批准上市产品的关系等。</w:t>
      </w:r>
    </w:p>
    <w:p w14:paraId="130006C6">
      <w:pPr>
        <w:pStyle w:val="4"/>
        <w:ind w:firstLine="640" w:firstLineChars="200"/>
        <w:rPr>
          <w:rFonts w:ascii="Times New Roman"/>
        </w:rPr>
      </w:pPr>
      <w:r>
        <w:rPr>
          <w:rFonts w:ascii="Times New Roman"/>
          <w:bCs w:val="0"/>
        </w:rPr>
        <w:t>2.</w:t>
      </w:r>
      <w:r>
        <w:rPr>
          <w:rFonts w:ascii="Times New Roman"/>
        </w:rPr>
        <w:t>产品描述</w:t>
      </w:r>
    </w:p>
    <w:p w14:paraId="0310980D">
      <w:pPr>
        <w:spacing w:line="520" w:lineRule="exact"/>
        <w:ind w:firstLine="640"/>
        <w:rPr>
          <w:szCs w:val="32"/>
        </w:rPr>
      </w:pPr>
      <w:r>
        <w:rPr>
          <w:szCs w:val="32"/>
        </w:rPr>
        <w:t>2.1器械及操作原理描述</w:t>
      </w:r>
    </w:p>
    <w:p w14:paraId="2EA5CE17">
      <w:pPr>
        <w:spacing w:line="520" w:lineRule="exact"/>
        <w:ind w:firstLine="640"/>
      </w:pPr>
      <w:r>
        <w:t>2.1.1工作原理</w:t>
      </w:r>
    </w:p>
    <w:p w14:paraId="1505D26E">
      <w:pPr>
        <w:spacing w:line="520" w:lineRule="exact"/>
        <w:ind w:firstLine="640"/>
        <w:rPr>
          <w:rFonts w:hint="eastAsia"/>
        </w:rPr>
      </w:pPr>
      <w:r>
        <w:t>二氧化碳类</w:t>
      </w:r>
      <w:r>
        <w:rPr>
          <w:rFonts w:hint="eastAsia"/>
        </w:rPr>
        <w:t>：利用了节流膨胀原理，即在两边压差条件下，高压的液体或气体经过小孔向低压的区域膨胀，膨胀达稳态后，使液体或气体的温度低于初始温度。当储存在高压气瓶中的液态二氧化碳经阀门喷出后，可形成温度更低的固态二氧化碳，在到达人体体表后迅速升华，带走大量的热量，从而达到快速降温的目的。</w:t>
      </w:r>
    </w:p>
    <w:p w14:paraId="68F58591">
      <w:pPr>
        <w:spacing w:line="520" w:lineRule="exact"/>
        <w:ind w:firstLine="640"/>
        <w:rPr>
          <w:rFonts w:hint="eastAsia"/>
        </w:rPr>
      </w:pPr>
      <w:r>
        <w:t>冷空气类：</w:t>
      </w:r>
      <w:r>
        <w:rPr>
          <w:rFonts w:hint="eastAsia"/>
        </w:rPr>
        <w:t>产品的制冷系统主要由压缩机、冷凝器、膨胀阀、蒸发室及制冷剂组成。启动后，压缩机将气态的制冷剂压缩为高温高压的蒸汽排入冷凝器进行冷却得到低温高压液体，经膨胀阀节流降压，变成低温低压的液体，经过蒸发室时，吸收蒸发室中空气的热量，从而产生冷空气，经冷空气输出管输出作用于人体。而吸收热量之后的制冷剂从液态变成气态，再次被压缩机吸入，进入下一次的循环。</w:t>
      </w:r>
    </w:p>
    <w:p w14:paraId="1B66874D">
      <w:pPr>
        <w:spacing w:line="520" w:lineRule="exact"/>
        <w:ind w:firstLine="640"/>
      </w:pPr>
      <w:r>
        <w:rPr>
          <w:rFonts w:hint="eastAsia"/>
        </w:rPr>
        <w:t>注册申请人应结合产品的技术类型详述产品的工作原理，可提供产品的工作原理图，并结合原理图阐述产品的工作原理。</w:t>
      </w:r>
    </w:p>
    <w:p w14:paraId="4761576F">
      <w:pPr>
        <w:spacing w:line="520" w:lineRule="exact"/>
        <w:ind w:firstLine="640"/>
      </w:pPr>
      <w:r>
        <w:t>2.1.2作用机理</w:t>
      </w:r>
    </w:p>
    <w:p w14:paraId="7C641B95">
      <w:pPr>
        <w:spacing w:line="520" w:lineRule="exact"/>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低温可以使作用部位周围血管收缩，局部血流量减少，血管通透性降低，局部炎性渗出液减少、肿胀减轻；使感觉神经和运动神经的传导速度减慢，减少神经终板兴奋，疼痛阈值提高，降低神经末梢的敏感性而减轻疼痛。</w:t>
      </w:r>
    </w:p>
    <w:p w14:paraId="2783104D">
      <w:pPr>
        <w:spacing w:line="520" w:lineRule="exact"/>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注册申请人应结合申报产品的实际情况，说明产品的作用机理。对于具有其他作用机理，应详述其与临床应用的关联性及其确定依据。</w:t>
      </w:r>
    </w:p>
    <w:p w14:paraId="6A152679">
      <w:pPr>
        <w:spacing w:line="520" w:lineRule="exact"/>
        <w:ind w:firstLine="640"/>
      </w:pPr>
      <w:r>
        <w:t>2.1.</w:t>
      </w:r>
      <w:r>
        <w:rPr>
          <w:rFonts w:hint="eastAsia"/>
        </w:rPr>
        <w:t>3</w:t>
      </w:r>
      <w:r>
        <w:t>结构及组成</w:t>
      </w:r>
    </w:p>
    <w:p w14:paraId="4871DB41">
      <w:pPr>
        <w:spacing w:line="520" w:lineRule="exact"/>
        <w:ind w:firstLine="640"/>
      </w:pPr>
      <w:r>
        <w:rPr>
          <w:rFonts w:hint="eastAsia"/>
        </w:rPr>
        <w:t>应当明确申报产品的组成部分，说明各部分组件的功能。应结合图示描述产品的物理尺寸、重量、外观、型号等信息。产品图示中需包括正面、背面、侧面、接口、操控面板的各个操作界面、企业标识、标签等，并在图示中标注主要组件。</w:t>
      </w:r>
    </w:p>
    <w:p w14:paraId="52F52AA6">
      <w:pPr>
        <w:spacing w:line="520" w:lineRule="exact"/>
        <w:ind w:firstLine="640"/>
      </w:pPr>
      <w:r>
        <w:rPr>
          <w:rFonts w:hint="eastAsia"/>
        </w:rPr>
        <w:t>二氧化碳类设备（台车式）通常由主机（含电路板、显示屏、电磁阀（如有）、称重组件（如有））、二氧化碳输送管、治疗手柄（含红外温度传感器）、蓄电池（如有）、电源适配器（如有）等组成，不含二氧化碳气瓶。产品图示举例如图1。</w:t>
      </w:r>
    </w:p>
    <w:p w14:paraId="2271FA93">
      <w:pPr>
        <w:spacing w:line="520" w:lineRule="exact"/>
        <w:ind w:firstLine="640"/>
      </w:pPr>
      <w:r>
        <w:rPr>
          <w:rFonts w:hint="eastAsia"/>
        </w:rPr>
        <w:t>二氧化碳类设备（便携式）通常由治疗手柄（含电路板、显示屏、红外温度传感器、电磁阀（如有）、蓄电池（如有））、电源适配器（如有）等组成，不含二氧化碳气瓶。产品图示举例如图2所示。</w:t>
      </w:r>
    </w:p>
    <w:p w14:paraId="09A68BD5">
      <w:pPr>
        <w:spacing w:line="240" w:lineRule="auto"/>
        <w:ind w:firstLine="640"/>
      </w:pPr>
      <w:r>
        <w:rPr>
          <w:rFonts w:hint="eastAsia"/>
        </w:rPr>
        <w:drawing>
          <wp:inline distT="0" distB="0" distL="114300" distR="114300">
            <wp:extent cx="4864100" cy="3397250"/>
            <wp:effectExtent l="0" t="0" r="12700" b="1270"/>
            <wp:docPr id="1" name="图片 24" descr="图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descr="图2"/>
                    <pic:cNvPicPr>
                      <a:picLocks noChangeAspect="1"/>
                    </pic:cNvPicPr>
                  </pic:nvPicPr>
                  <pic:blipFill>
                    <a:blip r:embed="rId10"/>
                    <a:stretch>
                      <a:fillRect/>
                    </a:stretch>
                  </pic:blipFill>
                  <pic:spPr>
                    <a:xfrm>
                      <a:off x="0" y="0"/>
                      <a:ext cx="4864100" cy="3397250"/>
                    </a:xfrm>
                    <a:prstGeom prst="rect">
                      <a:avLst/>
                    </a:prstGeom>
                    <a:noFill/>
                    <a:ln>
                      <a:noFill/>
                    </a:ln>
                  </pic:spPr>
                </pic:pic>
              </a:graphicData>
            </a:graphic>
          </wp:inline>
        </w:drawing>
      </w:r>
    </w:p>
    <w:p w14:paraId="554F2738">
      <w:pPr>
        <w:spacing w:line="240" w:lineRule="auto"/>
        <w:ind w:firstLine="640"/>
        <w:jc w:val="center"/>
      </w:pPr>
      <w:r>
        <w:rPr>
          <w:rFonts w:hint="eastAsia"/>
        </w:rPr>
        <w:drawing>
          <wp:inline distT="0" distB="0" distL="114300" distR="114300">
            <wp:extent cx="3149600" cy="2406650"/>
            <wp:effectExtent l="0" t="0" r="5080" b="1270"/>
            <wp:docPr id="2" name="图片 25" descr="图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5" descr="图2.1"/>
                    <pic:cNvPicPr>
                      <a:picLocks noChangeAspect="1"/>
                    </pic:cNvPicPr>
                  </pic:nvPicPr>
                  <pic:blipFill>
                    <a:blip r:embed="rId11"/>
                    <a:stretch>
                      <a:fillRect/>
                    </a:stretch>
                  </pic:blipFill>
                  <pic:spPr>
                    <a:xfrm>
                      <a:off x="0" y="0"/>
                      <a:ext cx="3149600" cy="2406650"/>
                    </a:xfrm>
                    <a:prstGeom prst="rect">
                      <a:avLst/>
                    </a:prstGeom>
                    <a:noFill/>
                    <a:ln>
                      <a:noFill/>
                    </a:ln>
                  </pic:spPr>
                </pic:pic>
              </a:graphicData>
            </a:graphic>
          </wp:inline>
        </w:drawing>
      </w:r>
    </w:p>
    <w:p w14:paraId="58A07C10">
      <w:pPr>
        <w:spacing w:line="540" w:lineRule="exact"/>
        <w:ind w:firstLine="560"/>
        <w:jc w:val="center"/>
      </w:pPr>
      <w:r>
        <w:rPr>
          <w:rFonts w:hint="eastAsia" w:ascii="黑体" w:hAnsi="黑体" w:eastAsia="黑体" w:cs="黑体"/>
          <w:sz w:val="28"/>
          <w:szCs w:val="28"/>
        </w:rPr>
        <w:t>图 1 二氧化碳类的低温镇痛设备（台车式）</w:t>
      </w:r>
    </w:p>
    <w:p w14:paraId="1FC46129">
      <w:pPr>
        <w:spacing w:line="240" w:lineRule="auto"/>
        <w:ind w:firstLine="640"/>
        <w:jc w:val="center"/>
      </w:pPr>
    </w:p>
    <w:p w14:paraId="4BD01239">
      <w:pPr>
        <w:spacing w:line="240" w:lineRule="auto"/>
        <w:ind w:firstLine="640"/>
        <w:jc w:val="center"/>
      </w:pPr>
    </w:p>
    <w:p w14:paraId="0857F49E">
      <w:pPr>
        <w:spacing w:line="240" w:lineRule="auto"/>
        <w:ind w:firstLine="640"/>
        <w:jc w:val="center"/>
      </w:pPr>
    </w:p>
    <w:p w14:paraId="3150180F">
      <w:pPr>
        <w:spacing w:line="240" w:lineRule="auto"/>
        <w:ind w:firstLine="640"/>
        <w:jc w:val="center"/>
      </w:pPr>
    </w:p>
    <w:p w14:paraId="68B7B5F0">
      <w:pPr>
        <w:spacing w:line="240" w:lineRule="auto"/>
        <w:ind w:firstLine="640"/>
        <w:jc w:val="center"/>
      </w:pPr>
    </w:p>
    <w:p w14:paraId="6ACBA4C2">
      <w:pPr>
        <w:spacing w:line="240" w:lineRule="auto"/>
        <w:ind w:firstLine="640"/>
        <w:jc w:val="center"/>
      </w:pPr>
    </w:p>
    <w:p w14:paraId="217C87E3">
      <w:pPr>
        <w:spacing w:line="240" w:lineRule="auto"/>
        <w:ind w:firstLine="640"/>
        <w:jc w:val="center"/>
      </w:pPr>
    </w:p>
    <w:p w14:paraId="4175C809">
      <w:pPr>
        <w:spacing w:line="240" w:lineRule="auto"/>
        <w:ind w:firstLine="0" w:firstLineChars="0"/>
      </w:pPr>
    </w:p>
    <w:p w14:paraId="5E87E06D">
      <w:pPr>
        <w:spacing w:line="240" w:lineRule="auto"/>
        <w:ind w:firstLine="640"/>
        <w:jc w:val="center"/>
      </w:pPr>
    </w:p>
    <w:p w14:paraId="1DB9A9AA">
      <w:pPr>
        <w:spacing w:line="240" w:lineRule="auto"/>
        <w:ind w:firstLine="640"/>
        <w:jc w:val="center"/>
      </w:pPr>
    </w:p>
    <w:p w14:paraId="76AEA018">
      <w:pPr>
        <w:spacing w:line="240" w:lineRule="auto"/>
        <w:ind w:firstLine="0" w:firstLineChars="0"/>
        <w:jc w:val="left"/>
      </w:pPr>
      <w:r>
        <w:rPr>
          <w:rFonts w:hint="eastAsia"/>
        </w:rPr>
        <w:drawing>
          <wp:inline distT="0" distB="0" distL="114300" distR="114300">
            <wp:extent cx="5391785" cy="5271770"/>
            <wp:effectExtent l="0" t="0" r="5715" b="11430"/>
            <wp:docPr id="5" name="图片 5" descr="d715dbb9-6ade-4d04-8582-ceb052e2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715dbb9-6ade-4d04-8582-ceb052e22853"/>
                    <pic:cNvPicPr>
                      <a:picLocks noChangeAspect="1"/>
                    </pic:cNvPicPr>
                  </pic:nvPicPr>
                  <pic:blipFill>
                    <a:blip r:embed="rId12"/>
                    <a:stretch>
                      <a:fillRect/>
                    </a:stretch>
                  </pic:blipFill>
                  <pic:spPr>
                    <a:xfrm>
                      <a:off x="0" y="0"/>
                      <a:ext cx="5391785" cy="5271770"/>
                    </a:xfrm>
                    <a:prstGeom prst="rect">
                      <a:avLst/>
                    </a:prstGeom>
                  </pic:spPr>
                </pic:pic>
              </a:graphicData>
            </a:graphic>
          </wp:inline>
        </w:drawing>
      </w:r>
    </w:p>
    <w:p w14:paraId="2440A18C">
      <w:pPr>
        <w:spacing w:line="240" w:lineRule="auto"/>
        <w:ind w:firstLine="0" w:firstLineChars="0"/>
      </w:pPr>
    </w:p>
    <w:p w14:paraId="5E822FD4">
      <w:pPr>
        <w:spacing w:line="540" w:lineRule="exact"/>
        <w:ind w:firstLine="560"/>
        <w:jc w:val="center"/>
      </w:pPr>
      <w:r>
        <w:rPr>
          <w:rFonts w:hint="eastAsia" w:ascii="黑体" w:hAnsi="黑体" w:eastAsia="黑体" w:cs="黑体"/>
          <w:sz w:val="28"/>
          <w:szCs w:val="28"/>
        </w:rPr>
        <w:t>图 2 二氧化碳类的低温镇痛设备（便携式）</w:t>
      </w:r>
    </w:p>
    <w:p w14:paraId="4371CC28">
      <w:pPr>
        <w:spacing w:line="240" w:lineRule="auto"/>
        <w:ind w:firstLine="640"/>
        <w:jc w:val="center"/>
      </w:pPr>
    </w:p>
    <w:p w14:paraId="7FB1E2D5">
      <w:pPr>
        <w:spacing w:line="520" w:lineRule="exact"/>
        <w:ind w:firstLine="640"/>
      </w:pPr>
      <w:r>
        <w:rPr>
          <w:rFonts w:hint="eastAsia"/>
        </w:rPr>
        <w:t>冷空气类设备通常由主机（含空气压缩机、冷凝器、蒸发室）、冷空气输出管、治疗手柄（红外温度传感器）等组成。产品图示举例如图3所示。</w:t>
      </w:r>
    </w:p>
    <w:p w14:paraId="66581072">
      <w:pPr>
        <w:spacing w:line="540" w:lineRule="exact"/>
        <w:ind w:firstLine="640"/>
      </w:pPr>
    </w:p>
    <w:p w14:paraId="5B7BC40C">
      <w:pPr>
        <w:spacing w:line="240" w:lineRule="auto"/>
        <w:ind w:firstLine="640"/>
      </w:pPr>
      <w:r>
        <w:rPr>
          <w:rFonts w:hint="eastAsia"/>
        </w:rPr>
        <w:drawing>
          <wp:inline distT="0" distB="0" distL="114300" distR="114300">
            <wp:extent cx="4730750" cy="3340100"/>
            <wp:effectExtent l="0" t="0" r="8890" b="12700"/>
            <wp:docPr id="3" name="图片 22" descr="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2" descr="图1"/>
                    <pic:cNvPicPr>
                      <a:picLocks noChangeAspect="1"/>
                    </pic:cNvPicPr>
                  </pic:nvPicPr>
                  <pic:blipFill>
                    <a:blip r:embed="rId13"/>
                    <a:stretch>
                      <a:fillRect/>
                    </a:stretch>
                  </pic:blipFill>
                  <pic:spPr>
                    <a:xfrm>
                      <a:off x="0" y="0"/>
                      <a:ext cx="4730750" cy="3340100"/>
                    </a:xfrm>
                    <a:prstGeom prst="rect">
                      <a:avLst/>
                    </a:prstGeom>
                    <a:noFill/>
                    <a:ln>
                      <a:noFill/>
                    </a:ln>
                  </pic:spPr>
                </pic:pic>
              </a:graphicData>
            </a:graphic>
          </wp:inline>
        </w:drawing>
      </w:r>
    </w:p>
    <w:p w14:paraId="361CEA02">
      <w:pPr>
        <w:spacing w:line="240" w:lineRule="auto"/>
        <w:ind w:firstLine="640"/>
        <w:jc w:val="center"/>
      </w:pPr>
      <w:r>
        <w:rPr>
          <w:rFonts w:hint="eastAsia"/>
        </w:rPr>
        <w:drawing>
          <wp:inline distT="0" distB="0" distL="114300" distR="114300">
            <wp:extent cx="3263900" cy="2368550"/>
            <wp:effectExtent l="0" t="0" r="12700" b="8890"/>
            <wp:docPr id="4" name="图片 23" descr="图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3" descr="图1.2"/>
                    <pic:cNvPicPr>
                      <a:picLocks noChangeAspect="1"/>
                    </pic:cNvPicPr>
                  </pic:nvPicPr>
                  <pic:blipFill>
                    <a:blip r:embed="rId14"/>
                    <a:stretch>
                      <a:fillRect/>
                    </a:stretch>
                  </pic:blipFill>
                  <pic:spPr>
                    <a:xfrm>
                      <a:off x="0" y="0"/>
                      <a:ext cx="3263900" cy="2368550"/>
                    </a:xfrm>
                    <a:prstGeom prst="rect">
                      <a:avLst/>
                    </a:prstGeom>
                    <a:noFill/>
                    <a:ln>
                      <a:noFill/>
                    </a:ln>
                  </pic:spPr>
                </pic:pic>
              </a:graphicData>
            </a:graphic>
          </wp:inline>
        </w:drawing>
      </w:r>
    </w:p>
    <w:p w14:paraId="0E4A2CEA">
      <w:pPr>
        <w:spacing w:line="540" w:lineRule="exact"/>
        <w:ind w:firstLine="640"/>
      </w:pPr>
    </w:p>
    <w:p w14:paraId="4EA9CCD9">
      <w:pPr>
        <w:spacing w:line="540" w:lineRule="exact"/>
        <w:ind w:firstLine="560"/>
        <w:jc w:val="center"/>
      </w:pPr>
      <w:r>
        <w:rPr>
          <w:rFonts w:hint="eastAsia" w:ascii="黑体" w:hAnsi="黑体" w:eastAsia="黑体" w:cs="黑体"/>
          <w:sz w:val="28"/>
          <w:szCs w:val="28"/>
        </w:rPr>
        <w:t>图 3 冷空气类的低温镇痛设备</w:t>
      </w:r>
    </w:p>
    <w:p w14:paraId="63247161">
      <w:pPr>
        <w:spacing w:line="240" w:lineRule="auto"/>
        <w:ind w:firstLine="0" w:firstLineChars="0"/>
      </w:pPr>
    </w:p>
    <w:p w14:paraId="081E7A32">
      <w:pPr>
        <w:spacing w:line="520" w:lineRule="exact"/>
        <w:ind w:firstLine="640"/>
      </w:pPr>
      <w:r>
        <w:t>2.1.</w:t>
      </w:r>
      <w:r>
        <w:rPr>
          <w:rFonts w:hint="eastAsia"/>
        </w:rPr>
        <w:t>4</w:t>
      </w:r>
      <w:r>
        <w:t>产品功能</w:t>
      </w:r>
    </w:p>
    <w:p w14:paraId="14428F7B">
      <w:pPr>
        <w:spacing w:line="520" w:lineRule="exact"/>
        <w:ind w:firstLine="640"/>
      </w:pPr>
      <w:r>
        <w:t>应</w:t>
      </w:r>
      <w:r>
        <w:rPr>
          <w:rFonts w:hint="eastAsia"/>
        </w:rPr>
        <w:t>根据产品的实际结构</w:t>
      </w:r>
      <w:r>
        <w:t>描述设备所</w:t>
      </w:r>
      <w:r>
        <w:rPr>
          <w:rFonts w:hint="eastAsia"/>
        </w:rPr>
        <w:t>具备的</w:t>
      </w:r>
      <w:r>
        <w:t>全部功能</w:t>
      </w:r>
      <w:r>
        <w:rPr>
          <w:rFonts w:hint="eastAsia"/>
        </w:rPr>
        <w:t>。产品的主要功能，举例如下：皮肤温度监测、治疗时间设置及显示、喷射气体流速（二氧化碳类设备适用）、皮肤低温提示功能、皮肤低温保护功能、二氧化碳气瓶液体容量显示（二氧化碳类设备适用）、二氧化碳双瓶自动切换功能（二氧化碳类设备适用）、电池电量显示（内</w:t>
      </w:r>
      <w:r>
        <w:rPr>
          <w:rFonts w:hint="eastAsia"/>
          <w:color w:val="000000"/>
        </w:rPr>
        <w:t>部电源设</w:t>
      </w:r>
      <w:r>
        <w:rPr>
          <w:rFonts w:hint="eastAsia"/>
        </w:rPr>
        <w:t>备适用）等。</w:t>
      </w:r>
    </w:p>
    <w:p w14:paraId="588727D1">
      <w:pPr>
        <w:spacing w:line="520" w:lineRule="exact"/>
        <w:ind w:firstLine="640"/>
      </w:pPr>
      <w:r>
        <w:t>提供产品关键部件的信息，其应包括型号、规格等内容，用来唯一识别这些关键部件。</w:t>
      </w:r>
    </w:p>
    <w:p w14:paraId="540F575D">
      <w:pPr>
        <w:spacing w:line="520" w:lineRule="exact"/>
        <w:ind w:firstLine="640"/>
      </w:pPr>
      <w:r>
        <w:rPr>
          <w:rFonts w:hint="eastAsia"/>
        </w:rPr>
        <w:t>产品通常含有软件，应</w:t>
      </w:r>
      <w:r>
        <w:t>说明产品的软件功能，描述各功能的原理和算法、设计依据及理论基础</w:t>
      </w:r>
      <w:r>
        <w:rPr>
          <w:rFonts w:hint="eastAsia"/>
        </w:rPr>
        <w:t>。</w:t>
      </w:r>
    </w:p>
    <w:p w14:paraId="6B976DD7">
      <w:pPr>
        <w:spacing w:line="520" w:lineRule="exact"/>
        <w:ind w:firstLine="640"/>
        <w:rPr>
          <w:szCs w:val="32"/>
        </w:rPr>
      </w:pPr>
      <w:r>
        <w:rPr>
          <w:szCs w:val="32"/>
        </w:rPr>
        <w:t>2.2型号规格</w:t>
      </w:r>
    </w:p>
    <w:p w14:paraId="2B5DAFE4">
      <w:pPr>
        <w:spacing w:line="520" w:lineRule="exact"/>
        <w:ind w:firstLine="640"/>
      </w:pPr>
      <w:r>
        <w:rPr>
          <w:rFonts w:hint="eastAsia"/>
        </w:rPr>
        <w:t>提供产品各型号规格的划分原则。对于存在多种型号、规格的产品，需明确各型号、规格的区别。需采用对比表及带有说明性文字的图片、图表，对各种型号、规格的结构组成、功能、产品特征和运行模式、技术参数等方面加以描述。</w:t>
      </w:r>
    </w:p>
    <w:p w14:paraId="44318F20">
      <w:pPr>
        <w:spacing w:line="520" w:lineRule="exact"/>
        <w:ind w:firstLine="640"/>
        <w:rPr>
          <w:szCs w:val="32"/>
        </w:rPr>
      </w:pPr>
      <w:r>
        <w:rPr>
          <w:szCs w:val="32"/>
        </w:rPr>
        <w:t>2.3包装说明</w:t>
      </w:r>
    </w:p>
    <w:p w14:paraId="3C4C9B89">
      <w:pPr>
        <w:spacing w:line="520" w:lineRule="exact"/>
        <w:ind w:firstLine="640"/>
      </w:pPr>
      <w:r>
        <w:rPr>
          <w:rFonts w:hint="eastAsia"/>
        </w:rPr>
        <w:t>说明所有产品组成的包装信息，如包装材料、用途等。如有多层包装应分别提供，详细描述包装清单和包装方式，并提供各层包装的图示</w:t>
      </w:r>
      <w:r>
        <w:t>。</w:t>
      </w:r>
    </w:p>
    <w:p w14:paraId="61F7B999">
      <w:pPr>
        <w:overflowPunct w:val="0"/>
        <w:autoSpaceDE w:val="0"/>
        <w:autoSpaceDN w:val="0"/>
        <w:spacing w:line="520" w:lineRule="exact"/>
        <w:ind w:firstLine="640"/>
        <w:outlineLvl w:val="2"/>
        <w:rPr>
          <w:rFonts w:cs="仿宋_GB2312"/>
          <w:bCs/>
          <w:szCs w:val="28"/>
        </w:rPr>
      </w:pPr>
      <w:r>
        <w:rPr>
          <w:rFonts w:hint="eastAsia" w:cs="仿宋_GB2312"/>
          <w:bCs/>
          <w:szCs w:val="28"/>
        </w:rPr>
        <w:t>2.4研发历程</w:t>
      </w:r>
    </w:p>
    <w:p w14:paraId="779812D2">
      <w:pPr>
        <w:pStyle w:val="30"/>
        <w:spacing w:line="520" w:lineRule="exact"/>
        <w:ind w:firstLine="640" w:firstLineChars="200"/>
        <w:rPr>
          <w:rFonts w:ascii="Times New Roman" w:hAnsi="Times New Roman" w:eastAsia="仿宋_GB2312"/>
          <w:kern w:val="2"/>
          <w:sz w:val="32"/>
          <w:szCs w:val="20"/>
        </w:rPr>
      </w:pPr>
      <w:r>
        <w:rPr>
          <w:rFonts w:hint="eastAsia" w:ascii="Times New Roman" w:hAnsi="Times New Roman" w:eastAsia="仿宋_GB2312"/>
          <w:kern w:val="2"/>
          <w:sz w:val="32"/>
          <w:szCs w:val="20"/>
        </w:rPr>
        <w:t>阐述申请注册产品的研发背景和目的。如有参考的同类产品或前代产品，需提供同类产品或前代产品的信息，并说明选择其作为研发参考的原因。</w:t>
      </w:r>
    </w:p>
    <w:p w14:paraId="2017063D">
      <w:pPr>
        <w:pStyle w:val="30"/>
        <w:spacing w:line="520" w:lineRule="exact"/>
        <w:ind w:firstLine="640" w:firstLineChars="200"/>
        <w:rPr>
          <w:rFonts w:ascii="Times New Roman" w:hAnsi="Times New Roman" w:eastAsia="仿宋_GB2312"/>
          <w:kern w:val="2"/>
          <w:sz w:val="32"/>
          <w:szCs w:val="20"/>
        </w:rPr>
      </w:pPr>
      <w:r>
        <w:rPr>
          <w:rFonts w:hint="eastAsia" w:ascii="Times New Roman" w:hAnsi="Times New Roman" w:eastAsia="仿宋_GB2312"/>
          <w:kern w:val="2"/>
          <w:sz w:val="32"/>
          <w:szCs w:val="20"/>
        </w:rPr>
        <w:t>申请人需对低温镇痛设备设计开发立题依据进行详细阐述。需围绕申报产品特性，从临床需求、现有治疗手段局限、产品技术优势等方面。</w:t>
      </w:r>
    </w:p>
    <w:p w14:paraId="2E57270E">
      <w:pPr>
        <w:spacing w:line="520" w:lineRule="exact"/>
        <w:ind w:firstLine="640"/>
        <w:rPr>
          <w:szCs w:val="32"/>
        </w:rPr>
      </w:pPr>
      <w:r>
        <w:rPr>
          <w:szCs w:val="32"/>
        </w:rPr>
        <w:t>2.</w:t>
      </w:r>
      <w:r>
        <w:rPr>
          <w:rFonts w:hint="eastAsia"/>
          <w:szCs w:val="32"/>
        </w:rPr>
        <w:t>5</w:t>
      </w:r>
      <w:r>
        <w:rPr>
          <w:szCs w:val="32"/>
        </w:rPr>
        <w:t>与同类和/或前代产品的参考和比较</w:t>
      </w:r>
    </w:p>
    <w:p w14:paraId="60821635">
      <w:pPr>
        <w:spacing w:line="520" w:lineRule="exact"/>
        <w:ind w:firstLine="640"/>
      </w:pPr>
      <w:r>
        <w:t>如申报产品有同类产品和/或前代产品，申请人应说明相关的背景情况，提供同类产品和/或前代产品的上市情况说明。列表比较申报产品与同类产品和/或前代产品的工作原理、结构组成、</w:t>
      </w:r>
      <w:r>
        <w:rPr>
          <w:rFonts w:hint="eastAsia"/>
        </w:rPr>
        <w:t>主要</w:t>
      </w:r>
      <w:r>
        <w:t>功能及性能指标、适用范围等方面的异同。与已有功能和/或参数存在差异的，应说明差异的原因、设计依据及针对差异进行的验证确认工作。</w:t>
      </w:r>
    </w:p>
    <w:p w14:paraId="799ACC16">
      <w:pPr>
        <w:pStyle w:val="4"/>
        <w:ind w:firstLine="640" w:firstLineChars="200"/>
        <w:rPr>
          <w:rFonts w:ascii="Times New Roman"/>
        </w:rPr>
      </w:pPr>
      <w:r>
        <w:rPr>
          <w:rFonts w:ascii="Times New Roman"/>
          <w:bCs w:val="0"/>
          <w:szCs w:val="20"/>
        </w:rPr>
        <w:t>3.</w:t>
      </w:r>
      <w:r>
        <w:rPr>
          <w:rFonts w:ascii="Times New Roman"/>
        </w:rPr>
        <w:t>适用范围和禁忌证</w:t>
      </w:r>
    </w:p>
    <w:p w14:paraId="42946A38">
      <w:pPr>
        <w:pStyle w:val="46"/>
        <w:overflowPunct w:val="0"/>
        <w:autoSpaceDE w:val="0"/>
        <w:autoSpaceDN w:val="0"/>
        <w:spacing w:line="520" w:lineRule="exact"/>
        <w:ind w:right="210" w:firstLine="640"/>
        <w:outlineLvl w:val="3"/>
        <w:rPr>
          <w:rFonts w:ascii="Times New Roman" w:hAnsi="Times New Roman" w:cs="仿宋_GB2312"/>
          <w:bCs/>
          <w:szCs w:val="28"/>
        </w:rPr>
      </w:pPr>
      <w:r>
        <w:rPr>
          <w:rFonts w:hint="eastAsia" w:ascii="Times New Roman" w:hAnsi="Times New Roman" w:cs="仿宋_GB2312"/>
          <w:bCs/>
          <w:szCs w:val="28"/>
        </w:rPr>
        <w:t>3.1适用范围</w:t>
      </w:r>
    </w:p>
    <w:p w14:paraId="52BBB47E">
      <w:pPr>
        <w:spacing w:line="520" w:lineRule="exact"/>
        <w:ind w:firstLine="640"/>
        <w:rPr>
          <w:rFonts w:cs="仿宋_GB2312"/>
          <w:szCs w:val="28"/>
        </w:rPr>
      </w:pPr>
      <w:r>
        <w:rPr>
          <w:rFonts w:hint="eastAsia" w:cs="仿宋_GB2312"/>
          <w:szCs w:val="28"/>
        </w:rPr>
        <w:t>描述申报产品的预期用途，并描述其适用的医疗阶段（如物理治疗等）。明确目标用户及其操作或使用该产品应当具备的技能/知识/培训。说明与其组合使用实现预期用途的其他产品（如二氧化碳气瓶等）。产品的适用范围应与申报产品的性能、功能相符，并应与临床评价资料结论一致。</w:t>
      </w:r>
    </w:p>
    <w:p w14:paraId="060830ED">
      <w:pPr>
        <w:spacing w:line="520" w:lineRule="exact"/>
        <w:ind w:firstLine="640"/>
        <w:rPr>
          <w:rFonts w:cs="仿宋_GB2312"/>
          <w:szCs w:val="28"/>
        </w:rPr>
      </w:pPr>
      <w:r>
        <w:rPr>
          <w:rFonts w:hint="eastAsia" w:cs="仿宋_GB2312"/>
          <w:szCs w:val="28"/>
        </w:rPr>
        <w:t>例如：产品的适用范围可描述为：用于缓解急性软组织损伤引起的肿胀和疼痛。</w:t>
      </w:r>
    </w:p>
    <w:p w14:paraId="03499DD6">
      <w:pPr>
        <w:spacing w:line="520" w:lineRule="exact"/>
        <w:ind w:firstLine="640"/>
        <w:rPr>
          <w:rFonts w:cs="仿宋_GB2312"/>
          <w:szCs w:val="28"/>
        </w:rPr>
      </w:pPr>
      <w:r>
        <w:rPr>
          <w:rFonts w:hint="eastAsia" w:cs="仿宋_GB2312"/>
          <w:szCs w:val="28"/>
        </w:rPr>
        <w:t>3.2预期使用环境</w:t>
      </w:r>
    </w:p>
    <w:p w14:paraId="3A38D4E3">
      <w:pPr>
        <w:spacing w:line="520" w:lineRule="exact"/>
        <w:ind w:firstLine="640"/>
        <w:rPr>
          <w:rFonts w:cs="仿宋_GB2312"/>
          <w:szCs w:val="28"/>
        </w:rPr>
      </w:pPr>
      <w:r>
        <w:rPr>
          <w:rFonts w:hint="eastAsia" w:cs="仿宋_GB2312"/>
          <w:szCs w:val="28"/>
        </w:rPr>
        <w:t>明确该产品预期使用的地点、可能影响其安全性和有效性的环境条件。应明确对设备使用地点和使用环境的要求。使用环境条件如：温度、湿度、大气压、移动、振动、海拔等。</w:t>
      </w:r>
    </w:p>
    <w:p w14:paraId="314BE082">
      <w:pPr>
        <w:spacing w:line="520" w:lineRule="exact"/>
        <w:ind w:firstLine="640"/>
        <w:rPr>
          <w:rFonts w:cs="仿宋_GB2312"/>
          <w:szCs w:val="28"/>
        </w:rPr>
      </w:pPr>
      <w:r>
        <w:rPr>
          <w:rFonts w:hint="eastAsia" w:cs="仿宋_GB2312"/>
          <w:szCs w:val="28"/>
        </w:rPr>
        <w:t>使用地点举例：适用于医疗机构的疼痛科、康复医学科、骨科等。</w:t>
      </w:r>
    </w:p>
    <w:p w14:paraId="46F0B61D">
      <w:pPr>
        <w:overflowPunct w:val="0"/>
        <w:autoSpaceDE w:val="0"/>
        <w:autoSpaceDN w:val="0"/>
        <w:spacing w:line="520" w:lineRule="exact"/>
        <w:ind w:right="210" w:firstLine="640"/>
        <w:outlineLvl w:val="3"/>
        <w:rPr>
          <w:rFonts w:cs="仿宋_GB2312"/>
          <w:bCs/>
          <w:szCs w:val="28"/>
        </w:rPr>
      </w:pPr>
      <w:r>
        <w:rPr>
          <w:rFonts w:hint="eastAsia" w:cs="仿宋_GB2312"/>
          <w:bCs/>
          <w:szCs w:val="28"/>
        </w:rPr>
        <w:t>3.3适用人群</w:t>
      </w:r>
    </w:p>
    <w:p w14:paraId="1B875D0A">
      <w:pPr>
        <w:spacing w:line="520" w:lineRule="exact"/>
        <w:ind w:firstLine="640"/>
        <w:rPr>
          <w:rFonts w:cs="仿宋_GB2312"/>
          <w:szCs w:val="28"/>
        </w:rPr>
      </w:pPr>
      <w:r>
        <w:rPr>
          <w:rFonts w:hint="eastAsia" w:cs="仿宋_GB2312"/>
          <w:szCs w:val="28"/>
        </w:rPr>
        <w:t>应当明确目标患者人群的信息。</w:t>
      </w:r>
    </w:p>
    <w:p w14:paraId="33090EB1">
      <w:pPr>
        <w:overflowPunct w:val="0"/>
        <w:autoSpaceDE w:val="0"/>
        <w:autoSpaceDN w:val="0"/>
        <w:spacing w:line="520" w:lineRule="exact"/>
        <w:ind w:right="210" w:firstLine="640"/>
        <w:outlineLvl w:val="3"/>
        <w:rPr>
          <w:rFonts w:cs="仿宋_GB2312"/>
          <w:bCs/>
          <w:szCs w:val="28"/>
        </w:rPr>
      </w:pPr>
      <w:r>
        <w:rPr>
          <w:rFonts w:hint="eastAsia" w:cs="仿宋_GB2312"/>
          <w:bCs/>
          <w:szCs w:val="28"/>
        </w:rPr>
        <w:t>3.4禁忌证</w:t>
      </w:r>
    </w:p>
    <w:p w14:paraId="7D856FC4">
      <w:pPr>
        <w:pStyle w:val="47"/>
        <w:widowControl w:val="0"/>
        <w:spacing w:line="520" w:lineRule="exact"/>
        <w:ind w:firstLine="624"/>
      </w:pPr>
      <w:r>
        <w:rPr>
          <w:rFonts w:hint="eastAsia" w:ascii="Times New Roman" w:hAnsi="Times New Roman" w:cs="仿宋_GB2312"/>
          <w:color w:val="auto"/>
          <w:sz w:val="32"/>
          <w:szCs w:val="28"/>
        </w:rPr>
        <w:t>应当明确说明该产品禁忌应用的特定人群、疾病种类等。例如：</w:t>
      </w:r>
      <w:r>
        <w:rPr>
          <w:rFonts w:hint="eastAsia" w:ascii="Times New Roman" w:hAnsi="Times New Roman" w:cs="仿宋_GB2312"/>
          <w:sz w:val="32"/>
          <w:szCs w:val="28"/>
        </w:rPr>
        <w:t>开放性伤口或感染部位、对冷刺激过敏（如寒冷性荨麻疹等）、冷球蛋白血症、坏疽、外周血管疾病（如雷诺病、血栓闭塞性脉管炎等）、严重的心肺功能不全、孕妇的腹部及腰骶部、糖尿病周围神经病变、温度感知障碍等禁止使用；儿童患者慎用。</w:t>
      </w:r>
    </w:p>
    <w:p w14:paraId="031DBFBF">
      <w:pPr>
        <w:pStyle w:val="4"/>
        <w:ind w:firstLine="640" w:firstLineChars="200"/>
        <w:rPr>
          <w:rFonts w:ascii="Times New Roman"/>
        </w:rPr>
      </w:pPr>
      <w:r>
        <w:rPr>
          <w:rFonts w:ascii="Times New Roman"/>
          <w:bCs w:val="0"/>
          <w:szCs w:val="20"/>
        </w:rPr>
        <w:t>4</w:t>
      </w:r>
      <w:r>
        <w:rPr>
          <w:rFonts w:ascii="Times New Roman"/>
        </w:rPr>
        <w:t>.申报产品上市历史</w:t>
      </w:r>
    </w:p>
    <w:p w14:paraId="2751BA83">
      <w:pPr>
        <w:spacing w:line="520" w:lineRule="exact"/>
        <w:ind w:firstLine="640"/>
      </w:pPr>
      <w:r>
        <w:t>如适用，应提供申报产品在各国家或地区的上市批准时间、销售情况。</w:t>
      </w:r>
    </w:p>
    <w:p w14:paraId="7C982E8F">
      <w:pPr>
        <w:pStyle w:val="3"/>
        <w:ind w:firstLine="640"/>
        <w:rPr>
          <w:rFonts w:ascii="Times New Roman" w:hAnsi="Times New Roman"/>
          <w:bCs w:val="0"/>
        </w:rPr>
      </w:pPr>
      <w:r>
        <w:rPr>
          <w:rFonts w:ascii="Times New Roman" w:hAnsi="Times New Roman"/>
          <w:bCs w:val="0"/>
        </w:rPr>
        <w:t>（三）非临床资料</w:t>
      </w:r>
    </w:p>
    <w:p w14:paraId="753F0BF2">
      <w:pPr>
        <w:pStyle w:val="4"/>
        <w:ind w:firstLine="640" w:firstLineChars="200"/>
        <w:rPr>
          <w:rFonts w:ascii="Times New Roman"/>
          <w:bCs w:val="0"/>
          <w:szCs w:val="20"/>
        </w:rPr>
      </w:pPr>
      <w:r>
        <w:rPr>
          <w:rFonts w:ascii="Times New Roman"/>
          <w:bCs w:val="0"/>
          <w:szCs w:val="20"/>
        </w:rPr>
        <w:t>1.产品风险管理资料</w:t>
      </w:r>
    </w:p>
    <w:p w14:paraId="0EBA479E">
      <w:pPr>
        <w:tabs>
          <w:tab w:val="left" w:pos="8040"/>
        </w:tabs>
        <w:spacing w:line="520" w:lineRule="exact"/>
        <w:ind w:firstLine="640"/>
      </w:pPr>
      <w:r>
        <w:t>申请人可参考GB/T 42062及YY/T 1437标准对产品进行全生命周期风险管理，提交风险管理资料。</w:t>
      </w:r>
    </w:p>
    <w:p w14:paraId="1B5A1FE3">
      <w:pPr>
        <w:tabs>
          <w:tab w:val="left" w:pos="8040"/>
        </w:tabs>
        <w:spacing w:line="520" w:lineRule="exact"/>
        <w:ind w:firstLine="640"/>
        <w:rPr>
          <w:szCs w:val="32"/>
        </w:rPr>
      </w:pPr>
      <w:r>
        <w:t>建议参考GB/T 42062</w:t>
      </w:r>
      <w:r>
        <w:rPr>
          <w:rFonts w:hint="eastAsia"/>
        </w:rPr>
        <w:t>等</w:t>
      </w:r>
      <w:r>
        <w:t>标准</w:t>
      </w:r>
      <w:r>
        <w:rPr>
          <w:rFonts w:hint="eastAsia"/>
        </w:rPr>
        <w:t>，</w:t>
      </w:r>
      <w:r>
        <w:t>结合产品自身设计特点、临床用途及使用场景，充分识别与安全有关的特征，进行风险分析、评价及控制。风险控制的方案与实施、综合剩余风险的评价可参考</w:t>
      </w:r>
      <w:r>
        <w:rPr>
          <w:szCs w:val="32"/>
        </w:rPr>
        <w:t>GB/T 42062标准第7、第8章的相关要求。应确保各风险的可追溯性，提供各风险及综合剩余风险的可接受准则，确认各风险及综合剩余风险可接受。</w:t>
      </w:r>
    </w:p>
    <w:p w14:paraId="04158568">
      <w:pPr>
        <w:spacing w:line="520" w:lineRule="exact"/>
        <w:ind w:firstLine="640"/>
        <w:rPr>
          <w:rStyle w:val="19"/>
        </w:rPr>
      </w:pPr>
      <w:r>
        <w:rPr>
          <w:rFonts w:hint="eastAsia"/>
          <w:spacing w:val="-4"/>
          <w:szCs w:val="28"/>
        </w:rPr>
        <w:t>附件中表1列举了低温镇痛设备可能存在的危害因素。</w:t>
      </w:r>
      <w:r>
        <w:rPr>
          <w:spacing w:val="-4"/>
          <w:szCs w:val="28"/>
        </w:rPr>
        <w:t>由于</w:t>
      </w:r>
      <w:r>
        <w:rPr>
          <w:rFonts w:hint="eastAsia"/>
          <w:spacing w:val="-4"/>
          <w:szCs w:val="28"/>
        </w:rPr>
        <w:t>低温镇痛设备</w:t>
      </w:r>
      <w:r>
        <w:rPr>
          <w:spacing w:val="-4"/>
          <w:szCs w:val="28"/>
        </w:rPr>
        <w:t>功能和结构的差异，本章给出的</w:t>
      </w:r>
      <w:r>
        <w:rPr>
          <w:rFonts w:hint="eastAsia"/>
          <w:spacing w:val="-4"/>
          <w:szCs w:val="28"/>
        </w:rPr>
        <w:t>主要</w:t>
      </w:r>
      <w:r>
        <w:rPr>
          <w:spacing w:val="-4"/>
          <w:szCs w:val="28"/>
        </w:rPr>
        <w:t>风险及其示例是常见的而不是全部的。上述部分只是风险管理过程的组成部分，不是风险管理的全部。申请人应按照GB/T 42062</w:t>
      </w:r>
      <w:r>
        <w:rPr>
          <w:rFonts w:hint="eastAsia"/>
          <w:spacing w:val="-4"/>
          <w:szCs w:val="28"/>
        </w:rPr>
        <w:t>及YY/T 1437</w:t>
      </w:r>
      <w:r>
        <w:rPr>
          <w:spacing w:val="-4"/>
          <w:szCs w:val="28"/>
        </w:rPr>
        <w:t>中规定的过程和方法，在产品整个生命周期内建立、形成文件和保持一个持续的过程，用以判定与医疗器械有关的危险、估计和评价相关的风险、控制这些风险并监视上述控制的有效性，以充分保证产品的安全和有效。</w:t>
      </w:r>
    </w:p>
    <w:p w14:paraId="4EC696A3">
      <w:pPr>
        <w:spacing w:line="520" w:lineRule="exact"/>
        <w:ind w:firstLine="640"/>
        <w:rPr>
          <w:rFonts w:hint="eastAsia" w:cs="仿宋_GB2312"/>
          <w:szCs w:val="32"/>
        </w:rPr>
      </w:pPr>
      <w:r>
        <w:rPr>
          <w:rFonts w:hint="eastAsia" w:cs="仿宋_GB2312"/>
          <w:szCs w:val="32"/>
        </w:rPr>
        <w:t>注册申请人应关注并收集同类产品以及申报产品注册周期内的不良事件历史记录，可通过各国监管机构发布的不良事件资料库中查询相应不良事件数据。可以选择产品名称为方向开展医疗器械不良事件查询，通过在已选择的数据库的检索页面输入预期要进行查询的医疗器械产品名称，通过限制检索时间进行相关产品不良事件信息收集。</w:t>
      </w:r>
    </w:p>
    <w:p w14:paraId="76723ED8">
      <w:pPr>
        <w:spacing w:line="520" w:lineRule="exact"/>
        <w:ind w:firstLine="640"/>
        <w:rPr>
          <w:rFonts w:hint="eastAsia" w:cs="仿宋_GB2312"/>
          <w:szCs w:val="32"/>
        </w:rPr>
      </w:pPr>
      <w:r>
        <w:rPr>
          <w:rFonts w:hint="eastAsia" w:cs="仿宋_GB2312"/>
          <w:szCs w:val="32"/>
        </w:rPr>
        <w:t>可以检索公开发布的不良事件信息如下：</w:t>
      </w:r>
    </w:p>
    <w:p w14:paraId="06B32925">
      <w:pPr>
        <w:spacing w:line="520" w:lineRule="exact"/>
        <w:ind w:firstLine="640"/>
        <w:rPr>
          <w:rFonts w:hint="eastAsia" w:cs="仿宋_GB2312"/>
          <w:szCs w:val="32"/>
        </w:rPr>
      </w:pPr>
      <w:r>
        <w:rPr>
          <w:rFonts w:hint="eastAsia" w:cs="仿宋_GB2312"/>
          <w:szCs w:val="32"/>
        </w:rPr>
        <w:t>（1）国家药品不良反应监测中心发布的“医疗器械不良事件信息通报”及“医疗器械警戒快讯”。</w:t>
      </w:r>
    </w:p>
    <w:p w14:paraId="4CEF7090">
      <w:pPr>
        <w:spacing w:line="520" w:lineRule="exact"/>
        <w:ind w:firstLine="640"/>
        <w:rPr>
          <w:rFonts w:hint="eastAsia" w:cs="仿宋_GB2312"/>
          <w:szCs w:val="32"/>
        </w:rPr>
      </w:pPr>
      <w:r>
        <w:rPr>
          <w:rFonts w:hint="eastAsia" w:cs="仿宋_GB2312"/>
          <w:szCs w:val="32"/>
        </w:rPr>
        <w:t>（2）美国不良事件查询数据库MAUDE、召回查询数据库Recall及按年份查询警告信（warning letter）。</w:t>
      </w:r>
    </w:p>
    <w:p w14:paraId="49D48D48">
      <w:pPr>
        <w:spacing w:line="520" w:lineRule="exact"/>
        <w:ind w:firstLine="640"/>
        <w:rPr>
          <w:rFonts w:hint="eastAsia" w:cs="仿宋_GB2312"/>
          <w:szCs w:val="32"/>
        </w:rPr>
      </w:pPr>
      <w:r>
        <w:rPr>
          <w:rFonts w:hint="eastAsia" w:cs="仿宋_GB2312"/>
          <w:szCs w:val="32"/>
        </w:rPr>
        <w:t>（3）英国医疗器械警报（MHRA）。</w:t>
      </w:r>
    </w:p>
    <w:p w14:paraId="51184986">
      <w:pPr>
        <w:spacing w:line="520" w:lineRule="exact"/>
        <w:ind w:firstLine="640"/>
        <w:rPr>
          <w:rFonts w:hint="eastAsia" w:cs="仿宋_GB2312"/>
          <w:szCs w:val="32"/>
        </w:rPr>
      </w:pPr>
      <w:r>
        <w:rPr>
          <w:rFonts w:hint="eastAsia" w:cs="仿宋_GB2312"/>
          <w:szCs w:val="32"/>
        </w:rPr>
        <w:t>（4）加拿大召回与警戒（Search recalls and safety alerts）。</w:t>
      </w:r>
    </w:p>
    <w:p w14:paraId="1EFDC8BA">
      <w:pPr>
        <w:spacing w:line="520" w:lineRule="exact"/>
        <w:ind w:firstLine="640"/>
        <w:rPr>
          <w:rFonts w:hint="eastAsia" w:cs="仿宋_GB2312"/>
          <w:szCs w:val="32"/>
        </w:rPr>
      </w:pPr>
      <w:r>
        <w:rPr>
          <w:rFonts w:hint="eastAsia" w:cs="仿宋_GB2312"/>
          <w:szCs w:val="32"/>
        </w:rPr>
        <w:t>（5）澳大利亚TGA不良事件（Database of Adverse Event Notifications - medical devices）、召回（System for Australian Recall Actions）及警戒（All alerts）。</w:t>
      </w:r>
    </w:p>
    <w:p w14:paraId="11BFB44C">
      <w:pPr>
        <w:spacing w:line="520" w:lineRule="exact"/>
        <w:ind w:firstLine="640"/>
        <w:rPr>
          <w:rFonts w:hint="eastAsia" w:cs="仿宋_GB2312"/>
          <w:szCs w:val="32"/>
        </w:rPr>
      </w:pPr>
      <w:r>
        <w:rPr>
          <w:rFonts w:hint="eastAsia" w:cs="仿宋_GB2312"/>
          <w:szCs w:val="32"/>
        </w:rPr>
        <w:t>（6）日本PMDA。</w:t>
      </w:r>
    </w:p>
    <w:p w14:paraId="494329E7">
      <w:pPr>
        <w:spacing w:line="520" w:lineRule="exact"/>
        <w:ind w:firstLine="640"/>
        <w:rPr>
          <w:rFonts w:hint="eastAsia" w:cs="仿宋_GB2312"/>
          <w:szCs w:val="32"/>
        </w:rPr>
      </w:pPr>
      <w:r>
        <w:rPr>
          <w:rFonts w:hint="eastAsia" w:cs="仿宋_GB2312"/>
          <w:szCs w:val="32"/>
        </w:rPr>
        <w:t>（7）德国BfArM。</w:t>
      </w:r>
    </w:p>
    <w:p w14:paraId="52966622">
      <w:pPr>
        <w:spacing w:line="520" w:lineRule="exact"/>
        <w:ind w:firstLine="640"/>
        <w:rPr>
          <w:rFonts w:hint="eastAsia" w:cs="仿宋_GB2312"/>
          <w:szCs w:val="32"/>
        </w:rPr>
      </w:pPr>
      <w:r>
        <w:rPr>
          <w:rFonts w:hint="eastAsia" w:cs="仿宋_GB2312"/>
          <w:szCs w:val="32"/>
        </w:rPr>
        <w:t>应提供已上市产品不良事件及召回情况，如不良事件及召回情况描述、原因分析、处理和解决方案、对安全有效性影响的分析评价等。</w:t>
      </w:r>
    </w:p>
    <w:p w14:paraId="48ABAC3D">
      <w:pPr>
        <w:rPr>
          <w:rFonts w:ascii="Times New Roman"/>
        </w:rPr>
      </w:pPr>
      <w:r>
        <w:rPr>
          <w:rFonts w:hint="eastAsia" w:ascii="Times New Roman" w:cs="仿宋_GB2312"/>
          <w:bCs w:val="0"/>
          <w:szCs w:val="32"/>
        </w:rPr>
        <w:t>2</w:t>
      </w:r>
      <w:r>
        <w:rPr>
          <w:rFonts w:hint="eastAsia" w:ascii="Times New Roman" w:cs="仿宋_GB2312"/>
          <w:szCs w:val="32"/>
        </w:rPr>
        <w:t>.医疗器械安全和性能基</w:t>
      </w:r>
      <w:r>
        <w:rPr>
          <w:rFonts w:ascii="Times New Roman"/>
        </w:rPr>
        <w:t>本原则清单</w:t>
      </w:r>
    </w:p>
    <w:p w14:paraId="629344FF">
      <w:pPr>
        <w:spacing w:line="520" w:lineRule="exact"/>
        <w:ind w:firstLine="640"/>
        <w:rPr>
          <w:rFonts w:hint="eastAsia"/>
          <w:bCs/>
          <w:szCs w:val="32"/>
        </w:rPr>
      </w:pPr>
      <w:r>
        <w:rPr>
          <w:rFonts w:hint="eastAsia"/>
          <w:bCs/>
          <w:szCs w:val="32"/>
          <w:lang w:eastAsia="zh-CN"/>
        </w:rPr>
        <w:t>按照《医疗器械注册申报资料要求和批准证明文件格式》的要求提交《医疗器械安全和性能基本原则清单》，</w:t>
      </w:r>
      <w:r>
        <w:rPr>
          <w:rFonts w:hint="eastAsia"/>
          <w:bCs/>
          <w:szCs w:val="32"/>
        </w:rPr>
        <w:t>说明产品符合《医疗器械安全和性能基本原则清单》各项适用要求所采用的方法，以及证明其符合性的文件。对于不适用的各项要求，应当说明理由。</w:t>
      </w:r>
    </w:p>
    <w:p w14:paraId="7CFB889B">
      <w:pPr>
        <w:spacing w:line="520" w:lineRule="exact"/>
        <w:ind w:firstLine="640"/>
      </w:pPr>
      <w:r>
        <w:rPr>
          <w:rFonts w:hint="eastAsia"/>
          <w:bCs/>
          <w:szCs w:val="32"/>
        </w:rPr>
        <w:t>对于包含在产品注册申报资料中的文件，应当说明其在申报资料中的具体位置；对于未包含在产品注册申报资料中的文件，应当注明该证据文件名称及其在质量管理体系文件中的编号备查。</w:t>
      </w:r>
      <w:r>
        <w:rPr>
          <w:bCs/>
          <w:szCs w:val="32"/>
        </w:rPr>
        <w:t>。</w:t>
      </w:r>
    </w:p>
    <w:p w14:paraId="58B4AA74">
      <w:pPr>
        <w:pStyle w:val="4"/>
        <w:ind w:firstLine="640" w:firstLineChars="200"/>
        <w:rPr>
          <w:rFonts w:ascii="Times New Roman"/>
        </w:rPr>
      </w:pPr>
      <w:r>
        <w:rPr>
          <w:rFonts w:ascii="Times New Roman"/>
          <w:bCs w:val="0"/>
          <w:szCs w:val="20"/>
        </w:rPr>
        <w:t>3</w:t>
      </w:r>
      <w:r>
        <w:rPr>
          <w:rFonts w:ascii="Times New Roman"/>
        </w:rPr>
        <w:t>. 产品技术要求及检验报告</w:t>
      </w:r>
    </w:p>
    <w:p w14:paraId="25FBFFA1">
      <w:pPr>
        <w:spacing w:line="520" w:lineRule="exact"/>
        <w:ind w:firstLine="640"/>
      </w:pPr>
      <w:r>
        <w:t>3.1申报产品适用标准情况</w:t>
      </w:r>
    </w:p>
    <w:p w14:paraId="4F8A9502">
      <w:pPr>
        <w:spacing w:line="520" w:lineRule="exact"/>
        <w:ind w:firstLine="640"/>
      </w:pPr>
      <w:r>
        <w:rPr>
          <w:rFonts w:hint="eastAsia"/>
        </w:rPr>
        <w:t>低温镇痛设备</w:t>
      </w:r>
      <w:r>
        <w:t>应符合GB 9706.1、YY 9706.102</w:t>
      </w:r>
      <w:r>
        <w:rPr>
          <w:rFonts w:hint="eastAsia"/>
        </w:rPr>
        <w:t>等</w:t>
      </w:r>
      <w:r>
        <w:t>标准的要求。</w:t>
      </w:r>
    </w:p>
    <w:p w14:paraId="12835F8C">
      <w:pPr>
        <w:spacing w:line="520" w:lineRule="exact"/>
        <w:ind w:firstLine="640"/>
      </w:pPr>
      <w:r>
        <w:t>3.2产品技术要求</w:t>
      </w:r>
    </w:p>
    <w:p w14:paraId="54F52DF6">
      <w:pPr>
        <w:spacing w:line="520" w:lineRule="exact"/>
        <w:ind w:firstLine="640"/>
        <w:rPr>
          <w:rFonts w:cs="仿宋_GB2312"/>
          <w:szCs w:val="32"/>
        </w:rPr>
      </w:pPr>
      <w:bookmarkStart w:id="0" w:name="_Toc434250182"/>
      <w:bookmarkStart w:id="1" w:name="_Toc437263354"/>
      <w:bookmarkStart w:id="2" w:name="_Toc434250592"/>
      <w:r>
        <w:rPr>
          <w:rFonts w:hint="eastAsia" w:cs="仿宋_GB2312"/>
          <w:szCs w:val="32"/>
        </w:rPr>
        <w:t>申请人依据《医疗器械产品技术要求编写指导原则》的要求编写产品技术要求。产品电气安全性能、电磁兼容、主要技术性能应当执行国家和行业的强制性标准。</w:t>
      </w:r>
    </w:p>
    <w:p w14:paraId="5CF127BB">
      <w:pPr>
        <w:spacing w:line="520" w:lineRule="exact"/>
        <w:ind w:firstLine="640"/>
        <w:rPr>
          <w:rFonts w:cs="仿宋_GB2312"/>
          <w:szCs w:val="32"/>
        </w:rPr>
      </w:pPr>
      <w:r>
        <w:rPr>
          <w:rFonts w:hint="eastAsia" w:cs="仿宋_GB2312"/>
          <w:szCs w:val="32"/>
        </w:rPr>
        <w:t>医疗器械产品技术要求应采用规范、通用的术语，符合工程技术、临床医学等方面的专业标准及规范。对于标准中已经列明的术语原则上不应修改或另行制定，对于标准中未列明的术语应当在产品技术要求列明并释义。</w:t>
      </w:r>
    </w:p>
    <w:p w14:paraId="2A8E2A52">
      <w:pPr>
        <w:spacing w:line="520" w:lineRule="exact"/>
        <w:ind w:firstLine="640"/>
        <w:rPr>
          <w:bCs/>
          <w:szCs w:val="32"/>
        </w:rPr>
      </w:pPr>
      <w:r>
        <w:t>3.2.1产品型号/规格及其划分说明</w:t>
      </w:r>
      <w:bookmarkEnd w:id="0"/>
      <w:bookmarkEnd w:id="1"/>
      <w:bookmarkEnd w:id="2"/>
    </w:p>
    <w:p w14:paraId="2AFA4928">
      <w:pPr>
        <w:spacing w:line="520" w:lineRule="exact"/>
        <w:ind w:firstLine="640"/>
        <w:rPr>
          <w:bCs/>
          <w:szCs w:val="32"/>
        </w:rPr>
      </w:pPr>
      <w:r>
        <w:rPr>
          <w:bCs/>
          <w:szCs w:val="32"/>
        </w:rPr>
        <w:t>应当列明申报产品的规格、型号。对于同一注册单元中存在多种型号、规格的产品，应明确不同型号、规格的划分说明</w:t>
      </w:r>
      <w:r>
        <w:rPr>
          <w:rFonts w:hint="eastAsia"/>
          <w:bCs/>
          <w:szCs w:val="32"/>
        </w:rPr>
        <w:t>。</w:t>
      </w:r>
    </w:p>
    <w:p w14:paraId="5ED5544D">
      <w:pPr>
        <w:spacing w:line="520" w:lineRule="exact"/>
        <w:ind w:firstLine="640"/>
        <w:rPr>
          <w:bCs/>
          <w:szCs w:val="32"/>
        </w:rPr>
      </w:pPr>
      <w:r>
        <w:rPr>
          <w:rFonts w:hint="eastAsia"/>
          <w:bCs/>
          <w:szCs w:val="32"/>
        </w:rPr>
        <w:t>应按照《医疗器械软件注册技术审查指导原则》的要求，明确软件名称、型号规格、发布版本、版本命名规则等</w:t>
      </w:r>
      <w:r>
        <w:rPr>
          <w:bCs/>
          <w:szCs w:val="32"/>
        </w:rPr>
        <w:t>。</w:t>
      </w:r>
      <w:bookmarkStart w:id="3" w:name="_Toc434250593"/>
      <w:bookmarkStart w:id="4" w:name="_Toc437263355"/>
      <w:bookmarkStart w:id="5" w:name="_Toc434250183"/>
    </w:p>
    <w:p w14:paraId="391006D5">
      <w:pPr>
        <w:spacing w:line="520" w:lineRule="exact"/>
        <w:ind w:firstLine="640"/>
        <w:rPr>
          <w:bCs/>
          <w:szCs w:val="32"/>
        </w:rPr>
      </w:pPr>
      <w:r>
        <w:t>3.2.2性能指标</w:t>
      </w:r>
      <w:bookmarkEnd w:id="3"/>
      <w:bookmarkEnd w:id="4"/>
      <w:bookmarkEnd w:id="5"/>
    </w:p>
    <w:p w14:paraId="36E2F2B2">
      <w:pPr>
        <w:spacing w:line="520" w:lineRule="exact"/>
        <w:ind w:firstLine="640"/>
        <w:rPr>
          <w:bCs/>
          <w:szCs w:val="32"/>
        </w:rPr>
      </w:pPr>
      <w:r>
        <w:rPr>
          <w:bCs/>
          <w:szCs w:val="32"/>
        </w:rPr>
        <w:t>产品性能指标及检验方法是产品检验的依据，性能指标应为可进行客观判定的成品的功能性、安全性指标。</w:t>
      </w:r>
      <w:r>
        <w:rPr>
          <w:rFonts w:hint="eastAsia"/>
          <w:bCs/>
          <w:szCs w:val="32"/>
        </w:rPr>
        <w:t>性能要求包括但不限于如下条款。</w:t>
      </w:r>
    </w:p>
    <w:p w14:paraId="0670F69D">
      <w:pPr>
        <w:spacing w:line="520" w:lineRule="exact"/>
        <w:ind w:firstLine="640"/>
        <w:rPr>
          <w:bCs/>
          <w:szCs w:val="32"/>
        </w:rPr>
      </w:pPr>
      <w:r>
        <w:rPr>
          <w:bCs/>
          <w:szCs w:val="32"/>
        </w:rPr>
        <w:t>二氧化碳类设备</w:t>
      </w:r>
      <w:r>
        <w:rPr>
          <w:rFonts w:hint="eastAsia"/>
          <w:bCs/>
          <w:szCs w:val="32"/>
        </w:rPr>
        <w:t>：外观、皮肤温度监测范围及误差、治疗时间显示、治疗时间设置及误差、喷射气体流速及误差、二氧化碳输送管耐压性、管路连接气密性、皮肤低温提示（例如：4℃≥皮肤温度＞-1℃，有灯光闪烁警示）、皮肤低温保护功能（例如：皮肤温度≤-1℃，镇痛仪自动停止治疗，并有蜂鸣器提示音）、功能开关、喷射部位光指引功能（如适用）、电池电量显示（含内部电池适用）、二氧化碳气瓶液体容量显示（如适用）、二氧化碳双瓶自动切换功能（如适用）、噪声、达到预设治疗时间提示功能（如适用）。</w:t>
      </w:r>
    </w:p>
    <w:p w14:paraId="36B18A47">
      <w:pPr>
        <w:spacing w:line="520" w:lineRule="exact"/>
        <w:ind w:firstLine="640"/>
        <w:rPr>
          <w:bCs/>
          <w:szCs w:val="32"/>
        </w:rPr>
      </w:pPr>
      <w:r>
        <w:rPr>
          <w:bCs/>
          <w:szCs w:val="32"/>
        </w:rPr>
        <w:t>冷空气类设备</w:t>
      </w:r>
      <w:r>
        <w:rPr>
          <w:rFonts w:hint="eastAsia"/>
          <w:bCs/>
          <w:szCs w:val="32"/>
        </w:rPr>
        <w:t>：外观、冷气温度设置范围及误差、皮肤温度监测范围及误差、治疗时间显示、治疗时间设置及误差、出风量及误差、冷空气输出管气密性、皮肤低温提示（例如：4℃≥皮肤温度＞-1℃，有灯光闪烁警示）、皮肤低温保护功能（例如：皮肤温度≤-1℃，镇痛仪自动停止治疗，并有蜂鸣器提示音）、噪声、达到预设治疗时间提示功能（如适用）。</w:t>
      </w:r>
    </w:p>
    <w:p w14:paraId="0C2107A3">
      <w:pPr>
        <w:overflowPunct w:val="0"/>
        <w:spacing w:line="520" w:lineRule="exact"/>
        <w:ind w:firstLine="640"/>
        <w:rPr>
          <w:rFonts w:cs="仿宋_GB2312"/>
          <w:szCs w:val="32"/>
        </w:rPr>
      </w:pPr>
      <w:r>
        <w:rPr>
          <w:rFonts w:hint="eastAsia"/>
          <w:szCs w:val="32"/>
        </w:rPr>
        <w:t>软件性能（如适用）需参照</w:t>
      </w:r>
      <w:r>
        <w:rPr>
          <w:rFonts w:hint="eastAsia"/>
          <w:szCs w:val="32"/>
          <w:lang w:eastAsia="zh-CN"/>
        </w:rPr>
        <w:t>《</w:t>
      </w:r>
      <w:r>
        <w:rPr>
          <w:rFonts w:hint="eastAsia"/>
          <w:szCs w:val="32"/>
        </w:rPr>
        <w:t>医疗器械软件注册审查指导原则(2022年修订版)</w:t>
      </w:r>
      <w:r>
        <w:rPr>
          <w:rFonts w:hint="eastAsia"/>
          <w:szCs w:val="32"/>
          <w:lang w:eastAsia="zh-CN"/>
        </w:rPr>
        <w:t>》</w:t>
      </w:r>
      <w:r>
        <w:rPr>
          <w:rFonts w:hint="eastAsia"/>
          <w:szCs w:val="32"/>
        </w:rPr>
        <w:t>明确软件的性能指标：写明</w:t>
      </w:r>
      <w:r>
        <w:rPr>
          <w:szCs w:val="32"/>
        </w:rPr>
        <w:t>软件</w:t>
      </w:r>
      <w:r>
        <w:rPr>
          <w:rFonts w:hint="eastAsia"/>
          <w:szCs w:val="32"/>
        </w:rPr>
        <w:t>组件的全部</w:t>
      </w:r>
      <w:r>
        <w:rPr>
          <w:szCs w:val="32"/>
        </w:rPr>
        <w:t>功能纲要</w:t>
      </w:r>
      <w:r>
        <w:rPr>
          <w:rFonts w:hint="eastAsia"/>
          <w:szCs w:val="32"/>
        </w:rPr>
        <w:t>，</w:t>
      </w:r>
      <w:r>
        <w:rPr>
          <w:rFonts w:hint="eastAsia"/>
        </w:rPr>
        <w:t>如密码保护功能、待机保护功能、恢复出厂设置功能、故障提示等</w:t>
      </w:r>
      <w:r>
        <w:rPr>
          <w:szCs w:val="32"/>
        </w:rPr>
        <w:t>。</w:t>
      </w:r>
      <w:r>
        <w:rPr>
          <w:rFonts w:hint="eastAsia"/>
          <w:color w:val="000000"/>
          <w:szCs w:val="32"/>
        </w:rPr>
        <w:t>明确使用限制、接口、访问控制、运行环境、性能效率</w:t>
      </w:r>
      <w:r>
        <w:rPr>
          <w:rFonts w:hint="eastAsia"/>
          <w:szCs w:val="32"/>
        </w:rPr>
        <w:t>等</w:t>
      </w:r>
      <w:r>
        <w:rPr>
          <w:szCs w:val="32"/>
        </w:rPr>
        <w:t>要求。</w:t>
      </w:r>
    </w:p>
    <w:p w14:paraId="1BEAB210">
      <w:pPr>
        <w:spacing w:line="520" w:lineRule="exact"/>
        <w:ind w:firstLine="640"/>
        <w:rPr>
          <w:rFonts w:cs="仿宋_GB2312"/>
          <w:szCs w:val="32"/>
        </w:rPr>
      </w:pPr>
      <w:r>
        <w:rPr>
          <w:rFonts w:hint="eastAsia" w:cs="仿宋_GB2312"/>
          <w:szCs w:val="32"/>
        </w:rPr>
        <w:t>安全要求应符合GB 9706.1标准规定。</w:t>
      </w:r>
    </w:p>
    <w:p w14:paraId="2B6FC5C4">
      <w:pPr>
        <w:spacing w:line="520" w:lineRule="exact"/>
        <w:ind w:firstLine="640"/>
        <w:rPr>
          <w:rFonts w:cs="仿宋_GB2312"/>
          <w:szCs w:val="32"/>
        </w:rPr>
      </w:pPr>
      <w:r>
        <w:rPr>
          <w:rFonts w:hint="eastAsia" w:cs="仿宋_GB2312"/>
          <w:szCs w:val="32"/>
        </w:rPr>
        <w:t>电磁兼容应符合YY 9706.102的要求。</w:t>
      </w:r>
    </w:p>
    <w:p w14:paraId="5322D250">
      <w:pPr>
        <w:spacing w:line="520" w:lineRule="exact"/>
        <w:ind w:firstLine="640"/>
        <w:rPr>
          <w:rFonts w:cs="仿宋_GB2312"/>
          <w:szCs w:val="32"/>
        </w:rPr>
      </w:pPr>
      <w:r>
        <w:t>产品若具有其他特定功能，应制定相应要求</w:t>
      </w:r>
      <w:r>
        <w:rPr>
          <w:rFonts w:hint="eastAsia"/>
        </w:rPr>
        <w:t>，如充电电池可拆功能等</w:t>
      </w:r>
      <w:r>
        <w:t>。</w:t>
      </w:r>
    </w:p>
    <w:p w14:paraId="79EB2266">
      <w:pPr>
        <w:spacing w:line="520" w:lineRule="exact"/>
        <w:ind w:firstLine="640"/>
      </w:pPr>
      <w:bookmarkStart w:id="6" w:name="_Toc434250594"/>
      <w:bookmarkStart w:id="7" w:name="_Toc437263356"/>
      <w:bookmarkStart w:id="8" w:name="_Toc434250184"/>
      <w:r>
        <w:t>3.2.</w:t>
      </w:r>
      <w:r>
        <w:rPr>
          <w:rFonts w:hint="eastAsia"/>
        </w:rPr>
        <w:t>3</w:t>
      </w:r>
      <w:r>
        <w:t>附录</w:t>
      </w:r>
      <w:bookmarkEnd w:id="6"/>
      <w:bookmarkEnd w:id="7"/>
      <w:bookmarkEnd w:id="8"/>
    </w:p>
    <w:p w14:paraId="4C938D01">
      <w:pPr>
        <w:spacing w:line="520" w:lineRule="exact"/>
        <w:ind w:firstLine="640"/>
        <w:rPr>
          <w:bCs/>
          <w:szCs w:val="32"/>
        </w:rPr>
      </w:pPr>
      <w:r>
        <w:rPr>
          <w:bCs/>
          <w:szCs w:val="32"/>
        </w:rPr>
        <w:t>应列明产品</w:t>
      </w:r>
      <w:r>
        <w:rPr>
          <w:rFonts w:hint="eastAsia"/>
          <w:bCs/>
          <w:szCs w:val="32"/>
        </w:rPr>
        <w:t>主要</w:t>
      </w:r>
      <w:r>
        <w:rPr>
          <w:bCs/>
          <w:szCs w:val="32"/>
        </w:rPr>
        <w:t>安全特征。</w:t>
      </w:r>
    </w:p>
    <w:p w14:paraId="53953335">
      <w:pPr>
        <w:spacing w:line="520" w:lineRule="exact"/>
        <w:ind w:firstLine="640"/>
        <w:rPr>
          <w:rStyle w:val="31"/>
          <w:sz w:val="32"/>
        </w:rPr>
      </w:pPr>
      <w:r>
        <w:t>3.3</w:t>
      </w:r>
      <w:r>
        <w:rPr>
          <w:rStyle w:val="31"/>
          <w:sz w:val="32"/>
        </w:rPr>
        <w:t>检验报告</w:t>
      </w:r>
    </w:p>
    <w:p w14:paraId="1DDA5BE9">
      <w:pPr>
        <w:spacing w:line="520" w:lineRule="exact"/>
        <w:ind w:firstLine="640"/>
        <w:rPr>
          <w:bCs/>
          <w:szCs w:val="32"/>
        </w:rPr>
      </w:pPr>
      <w:r>
        <w:rPr>
          <w:rFonts w:hint="eastAsia"/>
          <w:bCs/>
          <w:szCs w:val="32"/>
        </w:rPr>
        <w:t>低温镇痛设备</w:t>
      </w:r>
      <w:r>
        <w:rPr>
          <w:bCs/>
          <w:szCs w:val="32"/>
        </w:rPr>
        <w:t>检验产品典型性型号的选取，应依据注册单元内所有型号的差异和检验项目来决定。</w:t>
      </w:r>
    </w:p>
    <w:p w14:paraId="5D04C373">
      <w:pPr>
        <w:spacing w:line="520" w:lineRule="exact"/>
        <w:ind w:firstLine="640"/>
        <w:rPr>
          <w:bCs/>
          <w:szCs w:val="32"/>
        </w:rPr>
      </w:pPr>
      <w:r>
        <w:rPr>
          <w:rFonts w:hint="eastAsia"/>
          <w:bCs/>
          <w:szCs w:val="32"/>
        </w:rPr>
        <w:t>低温镇痛设备</w:t>
      </w:r>
      <w:r>
        <w:rPr>
          <w:bCs/>
          <w:szCs w:val="32"/>
        </w:rPr>
        <w:t>进行</w:t>
      </w:r>
      <w:r>
        <w:rPr>
          <w:rFonts w:hint="eastAsia"/>
          <w:bCs/>
          <w:color w:val="000000" w:themeColor="text1"/>
          <w:szCs w:val="32"/>
          <w14:textFill>
            <w14:solidFill>
              <w14:schemeClr w14:val="tx1"/>
            </w14:solidFill>
          </w14:textFill>
        </w:rPr>
        <w:t>产品性能、电气安全</w:t>
      </w:r>
      <w:r>
        <w:rPr>
          <w:bCs/>
          <w:color w:val="000000" w:themeColor="text1"/>
          <w:szCs w:val="32"/>
          <w14:textFill>
            <w14:solidFill>
              <w14:schemeClr w14:val="tx1"/>
            </w14:solidFill>
          </w14:textFill>
        </w:rPr>
        <w:t>检验时</w:t>
      </w:r>
      <w:r>
        <w:rPr>
          <w:rFonts w:hint="eastAsia"/>
          <w:bCs/>
          <w:color w:val="000000" w:themeColor="text1"/>
          <w:szCs w:val="32"/>
          <w14:textFill>
            <w14:solidFill>
              <w14:schemeClr w14:val="tx1"/>
            </w14:solidFill>
          </w14:textFill>
        </w:rPr>
        <w:t>考虑</w:t>
      </w:r>
      <w:r>
        <w:rPr>
          <w:bCs/>
          <w:color w:val="000000" w:themeColor="text1"/>
          <w:szCs w:val="32"/>
          <w14:textFill>
            <w14:solidFill>
              <w14:schemeClr w14:val="tx1"/>
            </w14:solidFill>
          </w14:textFill>
        </w:rPr>
        <w:t>选取注册单元中结构最复杂、功能最全面</w:t>
      </w:r>
      <w:r>
        <w:rPr>
          <w:rFonts w:hint="eastAsia"/>
          <w:bCs/>
          <w:color w:val="000000" w:themeColor="text1"/>
          <w:szCs w:val="32"/>
          <w14:textFill>
            <w14:solidFill>
              <w14:schemeClr w14:val="tx1"/>
            </w14:solidFill>
          </w14:textFill>
        </w:rPr>
        <w:t>的型号作为典型性型号。电磁兼容的典型性须由检测机构判断，申请人应将全部型号产品送样。不接受申请人出具的EMC典型性说明。</w:t>
      </w:r>
      <w:r>
        <w:rPr>
          <w:bCs/>
          <w:color w:val="000000" w:themeColor="text1"/>
          <w:szCs w:val="32"/>
          <w14:textFill>
            <w14:solidFill>
              <w14:schemeClr w14:val="tx1"/>
            </w14:solidFill>
          </w14:textFill>
        </w:rPr>
        <w:t xml:space="preserve"> </w:t>
      </w:r>
    </w:p>
    <w:p w14:paraId="1ACAE966">
      <w:pPr>
        <w:spacing w:line="520" w:lineRule="exact"/>
        <w:ind w:firstLine="640"/>
        <w:rPr>
          <w:bCs/>
          <w:szCs w:val="32"/>
        </w:rPr>
      </w:pPr>
      <w:r>
        <w:rPr>
          <w:rFonts w:hint="eastAsia" w:cs="仿宋_GB2312"/>
          <w:color w:val="000000"/>
          <w:szCs w:val="32"/>
        </w:rPr>
        <w:t>检验报告所附照片中的产品结构组成、标识标签等信息应当与其他申报资料描述相同。</w:t>
      </w:r>
    </w:p>
    <w:p w14:paraId="7568A0A1">
      <w:pPr>
        <w:pStyle w:val="4"/>
        <w:ind w:firstLine="640" w:firstLineChars="200"/>
        <w:rPr>
          <w:rFonts w:ascii="Times New Roman"/>
        </w:rPr>
      </w:pPr>
      <w:r>
        <w:rPr>
          <w:rFonts w:ascii="Times New Roman"/>
          <w:bCs w:val="0"/>
          <w:szCs w:val="20"/>
        </w:rPr>
        <w:t>4</w:t>
      </w:r>
      <w:r>
        <w:rPr>
          <w:rFonts w:ascii="Times New Roman"/>
        </w:rPr>
        <w:t>.研究资料</w:t>
      </w:r>
    </w:p>
    <w:p w14:paraId="49E731A1">
      <w:pPr>
        <w:spacing w:line="520" w:lineRule="exact"/>
        <w:ind w:firstLine="640"/>
      </w:pPr>
      <w:r>
        <w:t>根据申报产品的具体特点，提供适用的研究资料。</w:t>
      </w:r>
    </w:p>
    <w:p w14:paraId="4567D21E">
      <w:pPr>
        <w:spacing w:line="520" w:lineRule="exact"/>
        <w:ind w:firstLine="640"/>
      </w:pPr>
      <w:r>
        <w:rPr>
          <w:rFonts w:hint="eastAsia"/>
        </w:rPr>
        <w:t>4.1物理性能研究</w:t>
      </w:r>
    </w:p>
    <w:p w14:paraId="3AF4A091">
      <w:pPr>
        <w:spacing w:line="520" w:lineRule="exact"/>
        <w:ind w:firstLine="640"/>
      </w:pPr>
      <w:r>
        <w:rPr>
          <w:rFonts w:hint="eastAsia"/>
        </w:rPr>
        <w:t>4.1.1</w:t>
      </w:r>
      <w:r>
        <w:t>产品性能</w:t>
      </w:r>
      <w:r>
        <w:rPr>
          <w:rFonts w:hint="eastAsia"/>
        </w:rPr>
        <w:t>研究</w:t>
      </w:r>
    </w:p>
    <w:p w14:paraId="55C0A215">
      <w:pPr>
        <w:spacing w:line="520" w:lineRule="exact"/>
        <w:ind w:firstLine="640"/>
      </w:pPr>
      <w:r>
        <w:t>应当提供产品性能研究资料以及产品技术要求的研究和编制说明，包括功能性、安全性指标的确定依据，</w:t>
      </w:r>
      <w:r>
        <w:rPr>
          <w:rFonts w:hint="eastAsia"/>
        </w:rPr>
        <w:t>应根据产品的工作原理、作用机理描述设计输入来源以及临床意义，明确申报产品所采用的标准或方法、采用的原因及理论基础。</w:t>
      </w:r>
      <w:r>
        <w:t>等。研究资料应重点阐述以下内容：</w:t>
      </w:r>
      <w:r>
        <w:rPr>
          <w:rFonts w:hint="eastAsia"/>
        </w:rPr>
        <w:t>喷射气体流速（二氧化碳类设备适用）、</w:t>
      </w:r>
      <w:r>
        <w:rPr>
          <w:rFonts w:hint="eastAsia"/>
          <w:bCs/>
          <w:szCs w:val="32"/>
        </w:rPr>
        <w:t>皮肤</w:t>
      </w:r>
      <w:r>
        <w:rPr>
          <w:rFonts w:hint="eastAsia"/>
        </w:rPr>
        <w:t>低温提示、</w:t>
      </w:r>
      <w:r>
        <w:rPr>
          <w:rFonts w:hint="eastAsia"/>
          <w:bCs/>
          <w:szCs w:val="32"/>
        </w:rPr>
        <w:t>皮肤</w:t>
      </w:r>
      <w:r>
        <w:rPr>
          <w:rFonts w:hint="eastAsia"/>
        </w:rPr>
        <w:t>低温保护等方面内容</w:t>
      </w:r>
      <w:r>
        <w:t>。</w:t>
      </w:r>
    </w:p>
    <w:p w14:paraId="5A16DD70">
      <w:pPr>
        <w:spacing w:line="520" w:lineRule="exact"/>
        <w:ind w:firstLine="640"/>
      </w:pPr>
      <w:r>
        <w:rPr>
          <w:rFonts w:hint="eastAsia"/>
        </w:rPr>
        <w:t>4.1.2联合使用</w:t>
      </w:r>
    </w:p>
    <w:p w14:paraId="3A39FB69">
      <w:pPr>
        <w:spacing w:line="520" w:lineRule="exact"/>
        <w:ind w:firstLine="640"/>
      </w:pPr>
      <w:r>
        <w:t>申报产品预期与</w:t>
      </w:r>
      <w:r>
        <w:rPr>
          <w:rFonts w:hint="eastAsia"/>
        </w:rPr>
        <w:t>二氧化碳气瓶</w:t>
      </w:r>
      <w:r>
        <w:t>联合使用实现同一预期用途，应当提供证明联合使用安全有效的研究资料，包括互联基本信息（连接类型、接口、最低性能）、联合使用风险</w:t>
      </w:r>
      <w:r>
        <w:rPr>
          <w:rFonts w:hint="eastAsia"/>
        </w:rPr>
        <w:t>（如爆炸风险、气体</w:t>
      </w:r>
      <w:r>
        <w:rPr>
          <w:rFonts w:hint="eastAsia"/>
          <w:lang w:eastAsia="zh-CN"/>
        </w:rPr>
        <w:t>泄漏</w:t>
      </w:r>
      <w:r>
        <w:rPr>
          <w:rFonts w:hint="eastAsia"/>
        </w:rPr>
        <w:t>等）</w:t>
      </w:r>
      <w:r>
        <w:t>及控制措施、联合使用上的限制</w:t>
      </w:r>
      <w:r>
        <w:rPr>
          <w:rFonts w:hint="eastAsia"/>
        </w:rPr>
        <w:t>（如环境限制、使用操作限制、治疗部位限制等）</w:t>
      </w:r>
      <w:r>
        <w:t>，兼容性研究等。</w:t>
      </w:r>
    </w:p>
    <w:p w14:paraId="5D6ED04C">
      <w:pPr>
        <w:spacing w:line="520" w:lineRule="exact"/>
        <w:ind w:firstLine="640"/>
        <w:rPr>
          <w:rFonts w:hint="eastAsia"/>
        </w:rPr>
      </w:pPr>
      <w:r>
        <w:rPr>
          <w:rFonts w:hint="eastAsia"/>
        </w:rPr>
        <w:t>对于爆炸风险，</w:t>
      </w:r>
      <w:r>
        <w:rPr>
          <w:rFonts w:hint="eastAsia"/>
          <w:color w:val="000000"/>
          <w:szCs w:val="32"/>
        </w:rPr>
        <w:t>应当提供爆炸风险研究资料，证明在正常状态及单一故障状态下，爆炸风险可接受。</w:t>
      </w:r>
      <w:r>
        <w:rPr>
          <w:rFonts w:hint="eastAsia"/>
        </w:rPr>
        <w:t>建议从理论依据、风险诱因、防控措施等方面提供研究资料，其中风险诱因建议分析内部因素（如材料与制造缺陷、超装问题等）、外部因素（温度异常、机械、操作不当、腐蚀损伤等）。</w:t>
      </w:r>
    </w:p>
    <w:p w14:paraId="560D9F15">
      <w:pPr>
        <w:spacing w:line="520" w:lineRule="exact"/>
        <w:ind w:firstLine="640"/>
        <w:rPr>
          <w:rFonts w:hint="eastAsia"/>
        </w:rPr>
      </w:pPr>
      <w:r>
        <w:rPr>
          <w:rFonts w:hint="eastAsia"/>
        </w:rPr>
        <w:t>4.1.</w:t>
      </w:r>
      <w:r>
        <w:rPr>
          <w:rFonts w:hint="eastAsia"/>
          <w:lang w:val="en-US" w:eastAsia="zh-CN"/>
        </w:rPr>
        <w:t>3</w:t>
      </w:r>
      <w:r>
        <w:rPr>
          <w:rFonts w:hint="eastAsia"/>
        </w:rPr>
        <w:t>量效关系和能量安全</w:t>
      </w:r>
    </w:p>
    <w:p w14:paraId="63F24EC1">
      <w:pPr>
        <w:spacing w:line="520" w:lineRule="exact"/>
        <w:ind w:firstLine="640"/>
        <w:rPr>
          <w:rFonts w:hint="eastAsia" w:eastAsia="仿宋_GB2312"/>
          <w:lang w:eastAsia="zh-CN"/>
        </w:rPr>
      </w:pPr>
      <w:r>
        <w:rPr>
          <w:rFonts w:hint="eastAsia"/>
        </w:rPr>
        <w:t>应当提供量效关系和能量安全性研究资料，提供证明治疗参数设置的安全性、有效性、合理性，以及除预期靶组织外，能量不会对正常组织造成不可接受的伤害的研究资料</w:t>
      </w:r>
      <w:r>
        <w:rPr>
          <w:rFonts w:hint="eastAsia"/>
          <w:lang w:eastAsia="zh-CN"/>
        </w:rPr>
        <w:t>。应能覆盖在推荐使用的最大</w:t>
      </w:r>
      <w:r>
        <w:rPr>
          <w:rFonts w:hint="eastAsia"/>
          <w:lang w:val="en-US" w:eastAsia="zh-CN"/>
        </w:rPr>
        <w:t>气体流速/出风量、最低温度</w:t>
      </w:r>
      <w:r>
        <w:rPr>
          <w:rFonts w:hint="eastAsia"/>
          <w:lang w:eastAsia="zh-CN"/>
        </w:rPr>
        <w:t>下，能量对患者组织伤害情况的研究。可为模型试验、台架试验、离体或在体的动物试验、临床文献等一项或多项研究所获得数据的分析和总结。</w:t>
      </w:r>
    </w:p>
    <w:p w14:paraId="7F39D5B0">
      <w:pPr>
        <w:spacing w:line="520" w:lineRule="exact"/>
        <w:ind w:firstLine="640"/>
        <w:rPr>
          <w:rStyle w:val="31"/>
          <w:sz w:val="32"/>
          <w:szCs w:val="32"/>
        </w:rPr>
      </w:pPr>
      <w:r>
        <w:rPr>
          <w:rStyle w:val="31"/>
          <w:sz w:val="32"/>
          <w:szCs w:val="32"/>
        </w:rPr>
        <w:t>4.</w:t>
      </w:r>
      <w:r>
        <w:rPr>
          <w:rStyle w:val="31"/>
          <w:rFonts w:hint="eastAsia"/>
          <w:sz w:val="32"/>
          <w:szCs w:val="32"/>
        </w:rPr>
        <w:t>2</w:t>
      </w:r>
      <w:r>
        <w:rPr>
          <w:rStyle w:val="31"/>
          <w:sz w:val="32"/>
          <w:szCs w:val="32"/>
        </w:rPr>
        <w:t>软件研究</w:t>
      </w:r>
    </w:p>
    <w:p w14:paraId="68C7B839">
      <w:pPr>
        <w:spacing w:line="520" w:lineRule="exact"/>
        <w:ind w:firstLine="640"/>
        <w:rPr>
          <w:szCs w:val="28"/>
        </w:rPr>
      </w:pPr>
      <w:r>
        <w:rPr>
          <w:rFonts w:hint="eastAsia"/>
          <w:szCs w:val="28"/>
        </w:rPr>
        <w:t>产品软件属于软件组件，其软件安全性级别一般归为中等。参照《医疗器械软件注册审查指导原则（2022年修订版）》的要求提供研究资料。</w:t>
      </w:r>
    </w:p>
    <w:p w14:paraId="50F34324">
      <w:pPr>
        <w:spacing w:line="520" w:lineRule="exact"/>
        <w:ind w:firstLine="640"/>
        <w:rPr>
          <w:szCs w:val="28"/>
        </w:rPr>
      </w:pPr>
      <w:r>
        <w:rPr>
          <w:rFonts w:hint="eastAsia"/>
          <w:szCs w:val="28"/>
        </w:rPr>
        <w:t>如适用，参照《医疗器械网络安全注册审查指导原则（2022年修订版）》提供研究资料。</w:t>
      </w:r>
    </w:p>
    <w:p w14:paraId="1F638D27">
      <w:pPr>
        <w:spacing w:line="520" w:lineRule="exact"/>
        <w:ind w:firstLine="640"/>
        <w:rPr>
          <w:bCs/>
          <w:szCs w:val="28"/>
        </w:rPr>
      </w:pPr>
      <w:r>
        <w:rPr>
          <w:rFonts w:hint="eastAsia"/>
          <w:szCs w:val="28"/>
        </w:rPr>
        <w:t>如适用，参照《医疗器械软件注册审查指导原则（2022年修订版）》提供互操作性研究资料。</w:t>
      </w:r>
    </w:p>
    <w:p w14:paraId="492AD92C">
      <w:pPr>
        <w:spacing w:line="520" w:lineRule="exact"/>
        <w:ind w:firstLine="640"/>
        <w:rPr>
          <w:bCs/>
          <w:szCs w:val="28"/>
        </w:rPr>
      </w:pPr>
      <w:r>
        <w:rPr>
          <w:rFonts w:hint="eastAsia"/>
          <w:bCs/>
          <w:szCs w:val="28"/>
        </w:rPr>
        <w:t>注册申请人需在软件研究资料中提交GB/T 25000.51自测报告，亦可提交自检报告或检验报告代替自测报告。</w:t>
      </w:r>
    </w:p>
    <w:p w14:paraId="0BDA5C2E">
      <w:pPr>
        <w:pStyle w:val="6"/>
        <w:spacing w:line="520" w:lineRule="exact"/>
        <w:ind w:firstLine="640"/>
        <w:jc w:val="both"/>
        <w:rPr>
          <w:rStyle w:val="31"/>
          <w:sz w:val="32"/>
          <w:szCs w:val="32"/>
        </w:rPr>
      </w:pPr>
      <w:r>
        <w:rPr>
          <w:rStyle w:val="31"/>
          <w:sz w:val="32"/>
          <w:szCs w:val="32"/>
        </w:rPr>
        <w:t>4.3生物学特性研究</w:t>
      </w:r>
    </w:p>
    <w:p w14:paraId="530F1977">
      <w:pPr>
        <w:pStyle w:val="6"/>
        <w:spacing w:line="520" w:lineRule="exact"/>
        <w:ind w:firstLine="640"/>
        <w:jc w:val="both"/>
      </w:pPr>
      <w:r>
        <w:t>低温镇痛设备使用过程中，患者与产品</w:t>
      </w:r>
      <w:r>
        <w:rPr>
          <w:rFonts w:hint="eastAsia"/>
          <w:lang w:val="en-US" w:eastAsia="zh-CN"/>
        </w:rPr>
        <w:t>间接</w:t>
      </w:r>
      <w:r>
        <w:t>接触，</w:t>
      </w:r>
      <w:r>
        <w:rPr>
          <w:rFonts w:hint="eastAsia"/>
        </w:rPr>
        <w:t>建议参照YY/T 1778.1对呼吸气体通路进行生物学研究</w:t>
      </w:r>
      <w:r>
        <w:t>。</w:t>
      </w:r>
    </w:p>
    <w:p w14:paraId="281D9C0B">
      <w:pPr>
        <w:pStyle w:val="6"/>
        <w:spacing w:line="520" w:lineRule="exact"/>
        <w:ind w:firstLine="640"/>
        <w:jc w:val="both"/>
      </w:pPr>
      <w:r>
        <w:rPr>
          <w:rFonts w:hint="eastAsia"/>
        </w:rPr>
        <w:t>研究资料应当包括：生物相容性评价的依据和方法，产品所用材料的描述及与人体接触的性质、材料应用历史，实施或豁免生物学试验的理由和论证，对于现有数据、安全使用历史或试验结果的评价。</w:t>
      </w:r>
    </w:p>
    <w:p w14:paraId="0550D262">
      <w:pPr>
        <w:pStyle w:val="45"/>
        <w:spacing w:line="520" w:lineRule="exact"/>
        <w:ind w:firstLine="640"/>
        <w:rPr>
          <w:rFonts w:ascii="Times New Roman" w:hAnsi="Times New Roman"/>
          <w:sz w:val="32"/>
          <w:szCs w:val="32"/>
        </w:rPr>
      </w:pPr>
      <w:r>
        <w:rPr>
          <w:rStyle w:val="31"/>
          <w:rFonts w:ascii="Times New Roman" w:hAnsi="Times New Roman"/>
          <w:sz w:val="32"/>
          <w:szCs w:val="32"/>
        </w:rPr>
        <w:t>4.4</w:t>
      </w:r>
      <w:r>
        <w:rPr>
          <w:rFonts w:ascii="Times New Roman" w:hAnsi="Times New Roman"/>
          <w:color w:val="000000"/>
          <w:sz w:val="32"/>
          <w:szCs w:val="32"/>
        </w:rPr>
        <w:t>清洁、消毒、</w:t>
      </w:r>
      <w:r>
        <w:rPr>
          <w:rFonts w:ascii="Times New Roman" w:hAnsi="Times New Roman"/>
          <w:sz w:val="32"/>
          <w:szCs w:val="32"/>
        </w:rPr>
        <w:t>灭菌研究</w:t>
      </w:r>
    </w:p>
    <w:p w14:paraId="08A3BF83">
      <w:pPr>
        <w:pStyle w:val="45"/>
        <w:spacing w:line="520" w:lineRule="exact"/>
        <w:ind w:firstLine="640"/>
      </w:pPr>
      <w:r>
        <w:rPr>
          <w:rFonts w:hint="eastAsia" w:ascii="Times New Roman" w:hAnsi="Times New Roman"/>
          <w:sz w:val="32"/>
          <w:szCs w:val="32"/>
        </w:rPr>
        <w:t>一般情况下，低温镇痛设备与人体表面皮肤接触，无需灭菌，由使用者常规擦拭或中低水平消毒（如75%酒精），需要提交清洗消毒方法及确定依据及验证的相关研究资料。</w:t>
      </w:r>
    </w:p>
    <w:p w14:paraId="0CF6CA20">
      <w:pPr>
        <w:spacing w:line="520" w:lineRule="exact"/>
        <w:ind w:firstLine="640"/>
        <w:rPr>
          <w:szCs w:val="28"/>
        </w:rPr>
      </w:pPr>
      <w:r>
        <w:rPr>
          <w:rFonts w:hint="eastAsia"/>
          <w:szCs w:val="28"/>
        </w:rPr>
        <w:t>4.5可用性</w:t>
      </w:r>
    </w:p>
    <w:p w14:paraId="72B4F6AD">
      <w:pPr>
        <w:spacing w:line="520" w:lineRule="exact"/>
        <w:ind w:firstLine="640"/>
        <w:rPr>
          <w:bCs/>
          <w:szCs w:val="32"/>
        </w:rPr>
      </w:pPr>
      <w:r>
        <w:rPr>
          <w:rStyle w:val="31"/>
          <w:rFonts w:hint="eastAsia"/>
          <w:sz w:val="32"/>
          <w:szCs w:val="32"/>
        </w:rPr>
        <w:t>低温镇痛设备</w:t>
      </w:r>
      <w:r>
        <w:rPr>
          <w:rFonts w:hint="eastAsia"/>
          <w:szCs w:val="28"/>
        </w:rPr>
        <w:t>应参照《医疗器械可用性工程注册审查指导原则》，按照中、低使用风险医疗器械要求提交使用错误评估报告。</w:t>
      </w:r>
    </w:p>
    <w:p w14:paraId="23684EE0">
      <w:pPr>
        <w:pStyle w:val="4"/>
        <w:ind w:firstLine="640"/>
        <w:rPr>
          <w:rFonts w:ascii="Times New Roman"/>
        </w:rPr>
      </w:pPr>
      <w:r>
        <w:rPr>
          <w:rStyle w:val="31"/>
          <w:rFonts w:ascii="Times New Roman"/>
          <w:bCs w:val="0"/>
          <w:sz w:val="32"/>
        </w:rPr>
        <w:t>5</w:t>
      </w:r>
      <w:r>
        <w:rPr>
          <w:rFonts w:ascii="Times New Roman"/>
        </w:rPr>
        <w:t>.稳定性研究</w:t>
      </w:r>
    </w:p>
    <w:p w14:paraId="73A69CF2">
      <w:pPr>
        <w:spacing w:line="520" w:lineRule="exact"/>
        <w:ind w:firstLine="640"/>
        <w:rPr>
          <w:rStyle w:val="31"/>
          <w:sz w:val="32"/>
          <w:szCs w:val="32"/>
        </w:rPr>
      </w:pPr>
      <w:r>
        <w:rPr>
          <w:rStyle w:val="31"/>
          <w:sz w:val="32"/>
          <w:szCs w:val="32"/>
        </w:rPr>
        <w:t>5.1使用稳定性</w:t>
      </w:r>
    </w:p>
    <w:p w14:paraId="59DFEB3F">
      <w:pPr>
        <w:spacing w:line="520" w:lineRule="exact"/>
        <w:ind w:firstLine="640"/>
        <w:rPr>
          <w:rStyle w:val="31"/>
          <w:sz w:val="32"/>
          <w:szCs w:val="32"/>
        </w:rPr>
      </w:pPr>
      <w:r>
        <w:rPr>
          <w:rStyle w:val="31"/>
          <w:rFonts w:hint="eastAsia"/>
          <w:sz w:val="32"/>
          <w:szCs w:val="32"/>
        </w:rPr>
        <w:t>低温镇痛设备的使用期限主要取决于重复使用以及关键部件，</w:t>
      </w:r>
      <w:r>
        <w:rPr>
          <w:rStyle w:val="31"/>
          <w:rFonts w:hint="eastAsia"/>
          <w:sz w:val="32"/>
          <w:szCs w:val="32"/>
          <w:lang w:val="en-US" w:eastAsia="zh-CN"/>
        </w:rPr>
        <w:t>如冷空气类设备中的压缩机制冷模块：需研究长期启停循环是否导致制冷效率衰减。输送管：需研究管路的低温疲劳损伤，反复冷热交替是否导致的管路壁厚变薄、开裂。喷嘴：需研究喷嘴孔径的磨损或堵塞，长期使用中气体杂质是否导致孔径变化，影响喷出气体的均匀性。温度传感器：需研究长期低温环境下，是否导致传感器的响应速度衰减</w:t>
      </w:r>
      <w:r>
        <w:rPr>
          <w:rStyle w:val="31"/>
          <w:rFonts w:hint="eastAsia"/>
          <w:sz w:val="32"/>
          <w:szCs w:val="32"/>
        </w:rPr>
        <w:t>。</w:t>
      </w:r>
      <w:r>
        <w:rPr>
          <w:rStyle w:val="31"/>
          <w:rFonts w:hint="eastAsia"/>
          <w:sz w:val="32"/>
          <w:szCs w:val="32"/>
          <w:lang w:val="en-US" w:eastAsia="zh-CN"/>
        </w:rPr>
        <w:t>电磁阀：需研究阀门的调节精度，长期启闭是否导致阀芯磨损，无法精准控制气体流量</w:t>
      </w:r>
      <w:r>
        <w:rPr>
          <w:rStyle w:val="31"/>
          <w:rFonts w:hint="eastAsia"/>
          <w:sz w:val="32"/>
          <w:szCs w:val="32"/>
        </w:rPr>
        <w:t>。</w:t>
      </w:r>
    </w:p>
    <w:p w14:paraId="7E50A91F">
      <w:pPr>
        <w:spacing w:line="520" w:lineRule="exact"/>
        <w:ind w:firstLine="640"/>
        <w:rPr>
          <w:rStyle w:val="31"/>
          <w:sz w:val="32"/>
          <w:szCs w:val="32"/>
        </w:rPr>
      </w:pPr>
      <w:r>
        <w:rPr>
          <w:rStyle w:val="31"/>
          <w:rFonts w:hint="eastAsia"/>
          <w:sz w:val="32"/>
          <w:szCs w:val="32"/>
          <w:lang w:val="en-US" w:eastAsia="zh-CN"/>
        </w:rPr>
        <w:t>应</w:t>
      </w:r>
      <w:r>
        <w:rPr>
          <w:rStyle w:val="31"/>
          <w:sz w:val="32"/>
          <w:szCs w:val="32"/>
        </w:rPr>
        <w:t>参考《有源医疗器械使用期限注册技术审查指导原则》中推荐的方法</w:t>
      </w:r>
      <w:r>
        <w:rPr>
          <w:rStyle w:val="31"/>
          <w:rFonts w:hint="eastAsia"/>
          <w:sz w:val="32"/>
          <w:szCs w:val="32"/>
          <w:lang w:eastAsia="zh-CN"/>
        </w:rPr>
        <w:t>，提供使用稳定性研究资料</w:t>
      </w:r>
      <w:r>
        <w:rPr>
          <w:rStyle w:val="31"/>
          <w:sz w:val="32"/>
          <w:szCs w:val="32"/>
        </w:rPr>
        <w:t>。</w:t>
      </w:r>
    </w:p>
    <w:p w14:paraId="77751746">
      <w:pPr>
        <w:spacing w:line="520" w:lineRule="exact"/>
        <w:ind w:firstLine="640"/>
        <w:jc w:val="left"/>
      </w:pPr>
      <w:r>
        <w:t>5.2运输稳定性</w:t>
      </w:r>
    </w:p>
    <w:p w14:paraId="620AD2F0">
      <w:pPr>
        <w:spacing w:line="520" w:lineRule="exact"/>
        <w:ind w:firstLine="640"/>
      </w:pPr>
      <w:r>
        <w:t>应提供运输稳定性和包装研究资料，证明生产企业规定的运输条件不会对产品的特性和性能造成不利影响。</w:t>
      </w:r>
    </w:p>
    <w:p w14:paraId="544B1A6D">
      <w:pPr>
        <w:spacing w:line="520" w:lineRule="exact"/>
        <w:ind w:firstLine="640"/>
      </w:pPr>
      <w:r>
        <w:t>运输稳定性研究通常</w:t>
      </w:r>
      <w:r>
        <w:rPr>
          <w:rFonts w:hint="eastAsia"/>
        </w:rPr>
        <w:t>对包装和产品进行模拟试验</w:t>
      </w:r>
      <w:r>
        <w:t>，</w:t>
      </w:r>
      <w:r>
        <w:rPr>
          <w:rFonts w:hint="eastAsia"/>
        </w:rPr>
        <w:t>模拟在运输过程中，例如环境（温湿度、气压等）变化、跌落、振动、加速度等，产品不会发生性能、功能改变，包装设备具有保护产品的能力。经过模拟试验后，观察包装外观是否有不可接受的异常现象，对产品进行安全性和性能测试，证明运输和环境测试后产品能够保持其完整性和功能性。</w:t>
      </w:r>
    </w:p>
    <w:p w14:paraId="48E9A331">
      <w:pPr>
        <w:spacing w:line="520" w:lineRule="exact"/>
        <w:ind w:firstLine="640"/>
      </w:pPr>
      <w:r>
        <w:rPr>
          <w:rFonts w:hint="eastAsia"/>
          <w:snapToGrid w:val="0"/>
          <w:kern w:val="0"/>
          <w:szCs w:val="32"/>
        </w:rPr>
        <w:t>参考GB/T 14710提供产品环境试验相关资料，提供环境试验的测试方案，说明测试条件、测试项目（中间、最后）及其制定依据，测试项目至少需涵盖额定工作低温试验</w:t>
      </w:r>
      <w:r>
        <w:rPr>
          <w:rFonts w:hint="eastAsia"/>
          <w:snapToGrid w:val="0"/>
          <w:kern w:val="0"/>
          <w:szCs w:val="32"/>
          <w:lang w:eastAsia="zh-CN"/>
        </w:rPr>
        <w:t>、低温贮存试验、额定工作高温试验、运行试验、高温贮存试验、额定工作湿热试验、湿热贮存试验、振动试验、碰撞试验、运输试验。</w:t>
      </w:r>
    </w:p>
    <w:p w14:paraId="6041AE3F">
      <w:pPr>
        <w:pStyle w:val="3"/>
        <w:ind w:firstLine="640"/>
        <w:rPr>
          <w:rFonts w:ascii="Times New Roman" w:hAnsi="Times New Roman"/>
        </w:rPr>
      </w:pPr>
      <w:r>
        <w:rPr>
          <w:rFonts w:ascii="Times New Roman" w:hAnsi="Times New Roman"/>
        </w:rPr>
        <w:t>（四）临床评价资料</w:t>
      </w:r>
    </w:p>
    <w:p w14:paraId="52C6A13E">
      <w:pPr>
        <w:spacing w:line="520" w:lineRule="exact"/>
        <w:ind w:firstLine="640"/>
      </w:pPr>
      <w:r>
        <w:rPr>
          <w:rFonts w:hint="eastAsia"/>
        </w:rPr>
        <w:t>低温镇痛设备一般可采取</w:t>
      </w:r>
      <w:r>
        <w:rPr>
          <w:color w:val="000000"/>
          <w:szCs w:val="32"/>
        </w:rPr>
        <w:t>同品种对比的路径开展临床评价</w:t>
      </w:r>
      <w:r>
        <w:rPr>
          <w:rFonts w:hint="eastAsia"/>
          <w:color w:val="000000"/>
          <w:szCs w:val="32"/>
        </w:rPr>
        <w:t>。</w:t>
      </w:r>
    </w:p>
    <w:p w14:paraId="00DE7577">
      <w:pPr>
        <w:spacing w:line="520" w:lineRule="exact"/>
        <w:ind w:firstLine="640"/>
      </w:pPr>
      <w:r>
        <w:rPr>
          <w:rFonts w:hint="eastAsia"/>
        </w:rPr>
        <w:t>按照《医疗器械临床评价等同性论证技术指导原则》进行与境内已上市同品种产品的对比、分析、评价，并提交符合《医疗器械注册申报临床评价报告技术指导原则》要求的临床评价报告。</w:t>
      </w:r>
    </w:p>
    <w:p w14:paraId="714D073B">
      <w:pPr>
        <w:spacing w:line="520" w:lineRule="exact"/>
        <w:ind w:firstLine="640"/>
      </w:pPr>
      <w:r>
        <w:rPr>
          <w:rFonts w:hint="eastAsia"/>
        </w:rPr>
        <w:t>技术特征重点关注工作原理、结构组成、关键性能的等同性。工作原理不同时，如二氧化碳类设备与冷空气类设备，不应作为同品种产品进行对比。产品性能应重点关注“</w:t>
      </w:r>
      <w:r>
        <w:rPr>
          <w:rFonts w:hint="eastAsia"/>
          <w:lang w:val="en-US" w:eastAsia="zh-CN"/>
        </w:rPr>
        <w:t>治疗温度、</w:t>
      </w:r>
      <w:r>
        <w:rPr>
          <w:rFonts w:hint="eastAsia"/>
        </w:rPr>
        <w:t>皮肤温度监测、皮肤低温提示、皮肤低温保护功能</w:t>
      </w:r>
      <w:r>
        <w:rPr>
          <w:rFonts w:hint="eastAsia"/>
          <w:lang w:eastAsia="zh-CN"/>
        </w:rPr>
        <w:t>、</w:t>
      </w:r>
      <w:r>
        <w:rPr>
          <w:rFonts w:hint="eastAsia"/>
          <w:lang w:val="en-US" w:eastAsia="zh-CN"/>
        </w:rPr>
        <w:t>气体流速/出风量</w:t>
      </w:r>
      <w:r>
        <w:rPr>
          <w:rFonts w:hint="eastAsia"/>
        </w:rPr>
        <w:t>”</w:t>
      </w:r>
      <w:r>
        <w:rPr>
          <w:rStyle w:val="15"/>
          <w:rFonts w:hint="eastAsia"/>
          <w:lang w:val="en-US" w:eastAsia="zh-CN"/>
        </w:rPr>
        <w:t>等</w:t>
      </w:r>
      <w:r>
        <w:rPr>
          <w:rFonts w:hint="eastAsia"/>
        </w:rPr>
        <w:t>是否与同品种产品基本等同。</w:t>
      </w:r>
    </w:p>
    <w:p w14:paraId="3B733236">
      <w:pPr>
        <w:spacing w:line="520" w:lineRule="exact"/>
        <w:ind w:firstLine="640"/>
      </w:pPr>
    </w:p>
    <w:p w14:paraId="4D5A0966">
      <w:pPr>
        <w:pStyle w:val="3"/>
        <w:ind w:firstLine="640"/>
        <w:rPr>
          <w:rFonts w:ascii="Times New Roman" w:hAnsi="Times New Roman"/>
        </w:rPr>
      </w:pPr>
      <w:r>
        <w:rPr>
          <w:rFonts w:ascii="Times New Roman" w:hAnsi="Times New Roman"/>
        </w:rPr>
        <w:t>（五）产品说明书和标签样稿</w:t>
      </w:r>
    </w:p>
    <w:p w14:paraId="12276859">
      <w:pPr>
        <w:spacing w:line="520" w:lineRule="exact"/>
        <w:ind w:firstLine="640"/>
        <w:rPr>
          <w:rStyle w:val="31"/>
          <w:sz w:val="32"/>
        </w:rPr>
      </w:pPr>
      <w:r>
        <w:rPr>
          <w:rStyle w:val="31"/>
          <w:rFonts w:hint="eastAsia"/>
          <w:sz w:val="32"/>
        </w:rPr>
        <w:t>低温镇痛设备</w:t>
      </w:r>
      <w:r>
        <w:rPr>
          <w:rStyle w:val="31"/>
          <w:sz w:val="32"/>
        </w:rPr>
        <w:t>的产品说明书及标签样稿应符合《医疗器械说明书和标签管理规定》以及相关国家标准、行业标准的规定。除上述内容外，产品说明书及标签样稿至少还应包括以下内容。</w:t>
      </w:r>
    </w:p>
    <w:p w14:paraId="0CDACD17">
      <w:pPr>
        <w:spacing w:line="520" w:lineRule="exact"/>
        <w:ind w:firstLine="640"/>
        <w:rPr>
          <w:rStyle w:val="31"/>
          <w:sz w:val="32"/>
        </w:rPr>
      </w:pPr>
      <w:bookmarkStart w:id="9" w:name="_Toc437263362"/>
      <w:r>
        <w:rPr>
          <w:rStyle w:val="31"/>
          <w:sz w:val="32"/>
        </w:rPr>
        <w:t>1.产品说明书</w:t>
      </w:r>
      <w:bookmarkEnd w:id="9"/>
    </w:p>
    <w:p w14:paraId="112EE186">
      <w:pPr>
        <w:spacing w:line="520" w:lineRule="exact"/>
        <w:ind w:firstLine="640"/>
        <w:rPr>
          <w:rStyle w:val="31"/>
          <w:sz w:val="32"/>
        </w:rPr>
      </w:pPr>
      <w:bookmarkStart w:id="10" w:name="_Toc437263363"/>
      <w:r>
        <w:rPr>
          <w:rStyle w:val="31"/>
          <w:rFonts w:hint="eastAsia"/>
          <w:sz w:val="32"/>
        </w:rPr>
        <w:t>（</w:t>
      </w:r>
      <w:r>
        <w:rPr>
          <w:rStyle w:val="31"/>
          <w:rFonts w:hint="eastAsia"/>
          <w:sz w:val="32"/>
          <w:lang w:val="en-US" w:eastAsia="zh-CN"/>
        </w:rPr>
        <w:t>1</w:t>
      </w:r>
      <w:r>
        <w:rPr>
          <w:rStyle w:val="31"/>
          <w:rFonts w:hint="eastAsia"/>
          <w:sz w:val="32"/>
        </w:rPr>
        <w:t>）</w:t>
      </w:r>
      <w:r>
        <w:rPr>
          <w:rStyle w:val="31"/>
          <w:sz w:val="32"/>
        </w:rPr>
        <w:t>使用方法：审查是否包括产品推荐使用部位的详细描述、操作的顺序和步骤、各功能的描述、对在产品操作按钮、产品外部等表面所出现的图形符号是否有清楚的解释和说明。</w:t>
      </w:r>
    </w:p>
    <w:p w14:paraId="4E8E9E68">
      <w:pPr>
        <w:spacing w:line="520" w:lineRule="exact"/>
        <w:ind w:firstLine="640"/>
        <w:rPr>
          <w:rStyle w:val="31"/>
          <w:sz w:val="32"/>
        </w:rPr>
      </w:pPr>
      <w:r>
        <w:rPr>
          <w:rStyle w:val="31"/>
          <w:rFonts w:hint="eastAsia"/>
          <w:sz w:val="32"/>
        </w:rPr>
        <w:t>（</w:t>
      </w:r>
      <w:r>
        <w:rPr>
          <w:rStyle w:val="31"/>
          <w:rFonts w:hint="eastAsia"/>
          <w:sz w:val="32"/>
          <w:lang w:val="en-US" w:eastAsia="zh-CN"/>
        </w:rPr>
        <w:t>2</w:t>
      </w:r>
      <w:r>
        <w:rPr>
          <w:rStyle w:val="31"/>
          <w:rFonts w:hint="eastAsia"/>
          <w:sz w:val="32"/>
        </w:rPr>
        <w:t>）</w:t>
      </w:r>
      <w:r>
        <w:rPr>
          <w:rStyle w:val="31"/>
          <w:sz w:val="32"/>
        </w:rPr>
        <w:t>禁忌</w:t>
      </w:r>
      <w:r>
        <w:rPr>
          <w:rStyle w:val="31"/>
          <w:rFonts w:hint="eastAsia"/>
          <w:sz w:val="32"/>
        </w:rPr>
        <w:t>证</w:t>
      </w:r>
      <w:r>
        <w:rPr>
          <w:rStyle w:val="31"/>
          <w:sz w:val="32"/>
        </w:rPr>
        <w:t>：应与其他注册申报文件（如申请表、综述资料、临床评价资料等）中一致，列出该产品不适宜的某些疾病、情况或特定的人群及部位。</w:t>
      </w:r>
    </w:p>
    <w:p w14:paraId="505FD59F">
      <w:pPr>
        <w:spacing w:line="520" w:lineRule="exact"/>
        <w:ind w:firstLine="640"/>
        <w:rPr>
          <w:rStyle w:val="31"/>
          <w:sz w:val="32"/>
        </w:rPr>
      </w:pPr>
      <w:r>
        <w:rPr>
          <w:rStyle w:val="31"/>
          <w:rFonts w:hint="eastAsia"/>
          <w:sz w:val="32"/>
        </w:rPr>
        <w:t>（</w:t>
      </w:r>
      <w:r>
        <w:rPr>
          <w:rStyle w:val="31"/>
          <w:rFonts w:hint="eastAsia"/>
          <w:sz w:val="32"/>
          <w:lang w:val="en-US" w:eastAsia="zh-CN"/>
        </w:rPr>
        <w:t>3</w:t>
      </w:r>
      <w:r>
        <w:rPr>
          <w:rStyle w:val="31"/>
          <w:rFonts w:hint="eastAsia"/>
          <w:sz w:val="32"/>
        </w:rPr>
        <w:t>）</w:t>
      </w:r>
      <w:r>
        <w:rPr>
          <w:rStyle w:val="31"/>
          <w:sz w:val="32"/>
        </w:rPr>
        <w:t>产品性能：产品技术要求的主要性能指标中明确需要在说明书中明示的内容</w:t>
      </w:r>
      <w:r>
        <w:rPr>
          <w:rStyle w:val="31"/>
          <w:rFonts w:hint="eastAsia"/>
          <w:sz w:val="32"/>
        </w:rPr>
        <w:t>应</w:t>
      </w:r>
      <w:r>
        <w:rPr>
          <w:rStyle w:val="31"/>
          <w:sz w:val="32"/>
        </w:rPr>
        <w:t>在说明书中给出完整的说明，宣称的性能指标不能超出性能研究部分的要求</w:t>
      </w:r>
      <w:r>
        <w:rPr>
          <w:rStyle w:val="31"/>
          <w:rFonts w:hint="eastAsia"/>
          <w:sz w:val="32"/>
        </w:rPr>
        <w:t>。</w:t>
      </w:r>
    </w:p>
    <w:p w14:paraId="2E6AA9B7">
      <w:pPr>
        <w:spacing w:line="520" w:lineRule="exact"/>
        <w:ind w:firstLine="640"/>
        <w:rPr>
          <w:rStyle w:val="31"/>
          <w:sz w:val="32"/>
        </w:rPr>
      </w:pPr>
      <w:r>
        <w:rPr>
          <w:rStyle w:val="31"/>
          <w:rFonts w:hint="eastAsia"/>
          <w:sz w:val="32"/>
        </w:rPr>
        <w:t>（</w:t>
      </w:r>
      <w:r>
        <w:rPr>
          <w:rStyle w:val="31"/>
          <w:rFonts w:hint="eastAsia"/>
          <w:sz w:val="32"/>
          <w:lang w:val="en-US" w:eastAsia="zh-CN"/>
        </w:rPr>
        <w:t>4</w:t>
      </w:r>
      <w:r>
        <w:rPr>
          <w:rStyle w:val="31"/>
          <w:rFonts w:hint="eastAsia"/>
          <w:sz w:val="32"/>
        </w:rPr>
        <w:t>）</w:t>
      </w:r>
      <w:r>
        <w:rPr>
          <w:rStyle w:val="31"/>
          <w:sz w:val="32"/>
        </w:rPr>
        <w:t>若提供可由使用者更换部件，如电池，说明书中应说明更换方法。</w:t>
      </w:r>
    </w:p>
    <w:p w14:paraId="4CFD9FB5">
      <w:pPr>
        <w:spacing w:line="520" w:lineRule="exact"/>
        <w:ind w:firstLine="640"/>
        <w:rPr>
          <w:rStyle w:val="31"/>
          <w:sz w:val="32"/>
        </w:rPr>
      </w:pPr>
      <w:r>
        <w:rPr>
          <w:rStyle w:val="31"/>
          <w:rFonts w:hint="eastAsia"/>
          <w:sz w:val="32"/>
        </w:rPr>
        <w:t>（</w:t>
      </w:r>
      <w:r>
        <w:rPr>
          <w:rStyle w:val="31"/>
          <w:rFonts w:hint="eastAsia"/>
          <w:sz w:val="32"/>
          <w:lang w:val="en-US" w:eastAsia="zh-CN"/>
        </w:rPr>
        <w:t>5</w:t>
      </w:r>
      <w:r>
        <w:rPr>
          <w:rStyle w:val="31"/>
          <w:rFonts w:hint="eastAsia"/>
          <w:sz w:val="32"/>
        </w:rPr>
        <w:t>）</w:t>
      </w:r>
      <w:r>
        <w:rPr>
          <w:rStyle w:val="31"/>
          <w:sz w:val="32"/>
        </w:rPr>
        <w:t xml:space="preserve"> 说明书应该包括故障排除的内容，应在说明书中给出问题、检查事项及解决方法。</w:t>
      </w:r>
    </w:p>
    <w:p w14:paraId="38E4AE82">
      <w:pPr>
        <w:spacing w:line="520" w:lineRule="exact"/>
        <w:ind w:firstLine="640"/>
        <w:rPr>
          <w:rStyle w:val="31"/>
          <w:sz w:val="32"/>
        </w:rPr>
      </w:pPr>
      <w:r>
        <w:rPr>
          <w:rStyle w:val="31"/>
          <w:rFonts w:hint="eastAsia"/>
          <w:sz w:val="32"/>
        </w:rPr>
        <w:t>（</w:t>
      </w:r>
      <w:r>
        <w:rPr>
          <w:rStyle w:val="31"/>
          <w:rFonts w:hint="eastAsia"/>
          <w:sz w:val="32"/>
          <w:lang w:val="en-US" w:eastAsia="zh-CN"/>
        </w:rPr>
        <w:t>6</w:t>
      </w:r>
      <w:r>
        <w:rPr>
          <w:rStyle w:val="31"/>
          <w:rFonts w:hint="eastAsia"/>
          <w:sz w:val="32"/>
        </w:rPr>
        <w:t>）</w:t>
      </w:r>
      <w:r>
        <w:rPr>
          <w:rStyle w:val="31"/>
          <w:sz w:val="32"/>
        </w:rPr>
        <w:t>电磁兼容性的专门提示。</w:t>
      </w:r>
    </w:p>
    <w:p w14:paraId="4B38C473">
      <w:pPr>
        <w:numPr>
          <w:ilvl w:val="-1"/>
          <w:numId w:val="0"/>
        </w:numPr>
        <w:spacing w:line="520" w:lineRule="exact"/>
        <w:ind w:firstLine="640" w:firstLineChars="200"/>
        <w:rPr>
          <w:rFonts w:hint="eastAsia"/>
        </w:rPr>
      </w:pPr>
      <w:r>
        <w:rPr>
          <w:rStyle w:val="31"/>
          <w:rFonts w:hint="eastAsia"/>
          <w:sz w:val="32"/>
        </w:rPr>
        <w:t>（</w:t>
      </w:r>
      <w:r>
        <w:rPr>
          <w:rStyle w:val="31"/>
          <w:rFonts w:hint="eastAsia"/>
          <w:sz w:val="32"/>
          <w:lang w:val="en-US" w:eastAsia="zh-CN"/>
        </w:rPr>
        <w:t>7</w:t>
      </w:r>
      <w:r>
        <w:rPr>
          <w:rStyle w:val="31"/>
          <w:rFonts w:hint="eastAsia"/>
          <w:sz w:val="32"/>
        </w:rPr>
        <w:t>）</w:t>
      </w:r>
      <w:r>
        <w:rPr>
          <w:rFonts w:hint="eastAsia"/>
        </w:rPr>
        <w:t>明确经过培训的医护人员使用。</w:t>
      </w:r>
    </w:p>
    <w:p w14:paraId="14A933DC">
      <w:pPr>
        <w:numPr>
          <w:ilvl w:val="-1"/>
          <w:numId w:val="0"/>
        </w:numPr>
        <w:spacing w:line="520" w:lineRule="exact"/>
        <w:ind w:firstLine="640" w:firstLineChars="200"/>
        <w:rPr>
          <w:rFonts w:hint="eastAsia"/>
        </w:rPr>
      </w:pPr>
      <w:r>
        <w:rPr>
          <w:rStyle w:val="31"/>
          <w:rFonts w:hint="eastAsia"/>
          <w:sz w:val="32"/>
        </w:rPr>
        <w:t>（</w:t>
      </w:r>
      <w:r>
        <w:rPr>
          <w:rStyle w:val="31"/>
          <w:rFonts w:hint="eastAsia"/>
          <w:sz w:val="32"/>
          <w:lang w:val="en-US" w:eastAsia="zh-CN"/>
        </w:rPr>
        <w:t>8</w:t>
      </w:r>
      <w:r>
        <w:rPr>
          <w:rStyle w:val="31"/>
          <w:rFonts w:hint="eastAsia"/>
          <w:sz w:val="32"/>
        </w:rPr>
        <w:t>）</w:t>
      </w:r>
      <w:r>
        <w:rPr>
          <w:rFonts w:hint="eastAsia"/>
        </w:rPr>
        <w:t>二氧化碳类设备适用：依据联合使用</w:t>
      </w:r>
      <w:r>
        <w:rPr>
          <w:rFonts w:hint="eastAsia"/>
          <w:lang w:val="en-US" w:eastAsia="zh-CN"/>
        </w:rPr>
        <w:t>研究</w:t>
      </w:r>
      <w:r>
        <w:rPr>
          <w:rFonts w:hint="eastAsia"/>
        </w:rPr>
        <w:t>资料明确二氧化碳气瓶、液态二氧化碳和充装液态二氧化碳的要求，如符合的标准、接口、气瓶容积、二氧化碳气体纯度等。涉及二氧化碳安全使用的提示信息，包括低温伤害和窒息等，明确二氧化碳类设备使用环境应通风良好。明确二氧化碳气瓶防爆的措施，以防止爆炸和介质泄漏。</w:t>
      </w:r>
    </w:p>
    <w:p w14:paraId="5BD5456B">
      <w:pPr>
        <w:spacing w:line="520" w:lineRule="exact"/>
        <w:ind w:firstLine="640"/>
        <w:rPr>
          <w:rStyle w:val="31"/>
          <w:sz w:val="32"/>
        </w:rPr>
      </w:pPr>
      <w:r>
        <w:rPr>
          <w:rStyle w:val="31"/>
          <w:sz w:val="32"/>
        </w:rPr>
        <w:t>2.产品标签样稿</w:t>
      </w:r>
      <w:bookmarkEnd w:id="10"/>
    </w:p>
    <w:p w14:paraId="1FD50B51">
      <w:pPr>
        <w:tabs>
          <w:tab w:val="left" w:pos="8040"/>
        </w:tabs>
        <w:spacing w:line="520" w:lineRule="exact"/>
        <w:ind w:firstLine="640"/>
      </w:pPr>
      <w:r>
        <w:t>标签</w:t>
      </w:r>
      <w:r>
        <w:rPr>
          <w:rFonts w:hint="eastAsia"/>
          <w:lang w:val="en-US" w:eastAsia="zh-CN"/>
        </w:rPr>
        <w:t>应</w:t>
      </w:r>
      <w:r>
        <w:t>至少应当标注产品名称、型号、规格、生产日期和使用期限或者失效日期，并在标签中明确“其他内容详见说明书”。</w:t>
      </w:r>
    </w:p>
    <w:p w14:paraId="4B1FD60D">
      <w:pPr>
        <w:pStyle w:val="3"/>
        <w:ind w:firstLine="640"/>
        <w:rPr>
          <w:rFonts w:ascii="Times New Roman" w:hAnsi="Times New Roman"/>
        </w:rPr>
      </w:pPr>
      <w:r>
        <w:rPr>
          <w:rFonts w:ascii="Times New Roman" w:hAnsi="Times New Roman"/>
        </w:rPr>
        <w:t>（六）质量管理体系文件</w:t>
      </w:r>
    </w:p>
    <w:p w14:paraId="1F639055">
      <w:pPr>
        <w:tabs>
          <w:tab w:val="left" w:pos="8040"/>
        </w:tabs>
        <w:spacing w:line="520" w:lineRule="exact"/>
        <w:ind w:firstLine="640"/>
      </w:pPr>
      <w:r>
        <w:rPr>
          <w:rFonts w:hint="eastAsia"/>
        </w:rPr>
        <w:t>产品的质量管理体系文件需符合《医疗器械生产质量管理规范》的要求，并按《医疗器械注册申报资料要求及说明》提交资料。</w:t>
      </w:r>
    </w:p>
    <w:p w14:paraId="49A4DE07">
      <w:pPr>
        <w:tabs>
          <w:tab w:val="left" w:pos="8040"/>
        </w:tabs>
        <w:spacing w:line="520" w:lineRule="exact"/>
        <w:ind w:firstLine="640"/>
      </w:pPr>
      <w:r>
        <w:rPr>
          <w:rFonts w:hint="eastAsia"/>
        </w:rPr>
        <w:t>应当明确产品生产工艺过程，可采用流程图的形式，并说明其过程控制点。</w:t>
      </w:r>
    </w:p>
    <w:p w14:paraId="54E68184">
      <w:pPr>
        <w:tabs>
          <w:tab w:val="left" w:pos="8040"/>
        </w:tabs>
        <w:spacing w:line="520" w:lineRule="exact"/>
        <w:ind w:firstLine="640"/>
      </w:pPr>
      <w:r>
        <w:rPr>
          <w:rFonts w:hint="eastAsia"/>
        </w:rPr>
        <w:t>生产工艺应已通过验证，能够生产出质量稳定、安全有效的产品，在注册质量管理体系核查中，对此项内容进行核查。关键工序、特殊过程应编制并执行工艺规程或作业指导书。若有微生物控制要求的需明确生产环境、原材料等的要求。</w:t>
      </w:r>
    </w:p>
    <w:p w14:paraId="2A039007">
      <w:pPr>
        <w:tabs>
          <w:tab w:val="left" w:pos="8040"/>
        </w:tabs>
        <w:spacing w:line="520" w:lineRule="exact"/>
        <w:ind w:firstLine="640"/>
      </w:pPr>
      <w:r>
        <w:rPr>
          <w:rFonts w:hint="eastAsia"/>
        </w:rPr>
        <w:t>有多个研制、生产场地的，概述每个研制、生产场地的实际情况</w:t>
      </w:r>
      <w:r>
        <w:t>。</w:t>
      </w:r>
    </w:p>
    <w:p w14:paraId="65B925AC">
      <w:pPr>
        <w:pStyle w:val="2"/>
        <w:ind w:firstLine="640"/>
      </w:pPr>
      <w:r>
        <w:t>三、参考文献</w:t>
      </w:r>
    </w:p>
    <w:p w14:paraId="0AE71C1E">
      <w:pPr>
        <w:spacing w:line="520" w:lineRule="exact"/>
        <w:ind w:firstLine="640"/>
      </w:pPr>
      <w:r>
        <w:rPr>
          <w:snapToGrid w:val="0"/>
          <w:kern w:val="0"/>
          <w:szCs w:val="32"/>
        </w:rPr>
        <w:t>[1]</w:t>
      </w:r>
      <w:r>
        <w:rPr>
          <w:szCs w:val="32"/>
        </w:rPr>
        <w:t>国家药品监督管理局.</w:t>
      </w:r>
      <w:r>
        <w:rPr>
          <w:rFonts w:hint="eastAsia"/>
        </w:rPr>
        <w:t>物理治疗器械通用名称命名指导原则</w:t>
      </w:r>
      <w:r>
        <w:t>:国家药监局通告2022年第26号[Z].</w:t>
      </w:r>
    </w:p>
    <w:p w14:paraId="5F2E5C33">
      <w:pPr>
        <w:spacing w:line="520" w:lineRule="exact"/>
        <w:ind w:firstLine="640"/>
      </w:pPr>
      <w:r>
        <w:rPr>
          <w:snapToGrid w:val="0"/>
          <w:kern w:val="0"/>
          <w:szCs w:val="32"/>
        </w:rPr>
        <w:t>[2]原国家食品药品监督管理总局.</w:t>
      </w:r>
      <w:r>
        <w:t>医疗器械分类目录:国家食品药品监督管理总局公告2017年第104号[Z].</w:t>
      </w:r>
    </w:p>
    <w:p w14:paraId="1093FE4D">
      <w:pPr>
        <w:spacing w:line="520" w:lineRule="exact"/>
        <w:ind w:firstLine="640"/>
      </w:pPr>
      <w:r>
        <w:rPr>
          <w:snapToGrid w:val="0"/>
          <w:kern w:val="0"/>
          <w:szCs w:val="32"/>
        </w:rPr>
        <w:t>[3]</w:t>
      </w:r>
      <w:r>
        <w:rPr>
          <w:szCs w:val="32"/>
        </w:rPr>
        <w:t>国家市场监督管理总局.</w:t>
      </w:r>
      <w:r>
        <w:t>医疗器械注册与备案管理办法</w:t>
      </w:r>
      <w:r>
        <w:rPr>
          <w:szCs w:val="32"/>
        </w:rPr>
        <w:t>:国家市场监督管理总局令第47号[Z].</w:t>
      </w:r>
    </w:p>
    <w:p w14:paraId="188F876C">
      <w:pPr>
        <w:overflowPunct w:val="0"/>
        <w:spacing w:line="520" w:lineRule="exact"/>
        <w:ind w:firstLine="640"/>
        <w:rPr>
          <w:szCs w:val="32"/>
        </w:rPr>
      </w:pPr>
      <w:r>
        <w:rPr>
          <w:szCs w:val="32"/>
        </w:rPr>
        <w:t>[4]国家药品监督管理局.</w:t>
      </w:r>
      <w:r>
        <w:rPr>
          <w:rStyle w:val="31"/>
          <w:sz w:val="32"/>
          <w:szCs w:val="32"/>
        </w:rPr>
        <w:t xml:space="preserve"> 有源医疗器械使用期限注册技术审查指导原则</w:t>
      </w:r>
      <w:r>
        <w:t>:国家药监局通告2019年第23号[Z].</w:t>
      </w:r>
    </w:p>
    <w:p w14:paraId="554AFD98">
      <w:pPr>
        <w:spacing w:line="520" w:lineRule="exact"/>
        <w:ind w:right="-102" w:rightChars="-32" w:firstLine="640"/>
      </w:pPr>
      <w:r>
        <w:rPr>
          <w:szCs w:val="32"/>
        </w:rPr>
        <w:t>[5]国家药品监督管理局.</w:t>
      </w:r>
      <w:r>
        <w:t>医疗器械产品技术要求编写指导原则</w:t>
      </w:r>
      <w:r>
        <w:rPr>
          <w:szCs w:val="32"/>
        </w:rPr>
        <w:t>:国家药监局通告2022年第8号[Z].</w:t>
      </w:r>
    </w:p>
    <w:p w14:paraId="38EF955F">
      <w:pPr>
        <w:overflowPunct w:val="0"/>
        <w:spacing w:line="520" w:lineRule="exact"/>
        <w:ind w:firstLine="640"/>
        <w:rPr>
          <w:szCs w:val="32"/>
        </w:rPr>
      </w:pPr>
      <w:r>
        <w:t>[6]</w:t>
      </w:r>
      <w:r>
        <w:rPr>
          <w:kern w:val="0"/>
          <w:szCs w:val="32"/>
        </w:rPr>
        <w:t>国家药品监督管理局医疗器械审评中心.</w:t>
      </w:r>
      <w:r>
        <w:t>医疗器械软件注册审查指导原则</w:t>
      </w:r>
      <w:r>
        <w:rPr>
          <w:kern w:val="0"/>
          <w:szCs w:val="32"/>
        </w:rPr>
        <w:t>（2022年修订版）:国家药监局器审中心通告2022年第9号</w:t>
      </w:r>
      <w:r>
        <w:rPr>
          <w:szCs w:val="32"/>
        </w:rPr>
        <w:t>[Z].</w:t>
      </w:r>
    </w:p>
    <w:p w14:paraId="5A423F97">
      <w:pPr>
        <w:spacing w:line="520" w:lineRule="exact"/>
        <w:ind w:right="-102" w:rightChars="-32" w:firstLine="640"/>
      </w:pPr>
      <w:r>
        <w:t>[7]</w:t>
      </w:r>
      <w:r>
        <w:rPr>
          <w:kern w:val="0"/>
          <w:szCs w:val="32"/>
        </w:rPr>
        <w:t>国家药品监督管理局医疗器械审评中心</w:t>
      </w:r>
      <w:r>
        <w:rPr>
          <w:szCs w:val="32"/>
        </w:rPr>
        <w:t>.</w:t>
      </w:r>
      <w:r>
        <w:t>医疗器械网络安全注册审查指导原则</w:t>
      </w:r>
      <w:r>
        <w:rPr>
          <w:szCs w:val="32"/>
        </w:rPr>
        <w:t>（2022年修订版）:</w:t>
      </w:r>
      <w:r>
        <w:rPr>
          <w:kern w:val="0"/>
          <w:szCs w:val="32"/>
        </w:rPr>
        <w:t>国家药监局器审中心通告2022年第7号</w:t>
      </w:r>
      <w:r>
        <w:rPr>
          <w:szCs w:val="32"/>
        </w:rPr>
        <w:t>[Z].</w:t>
      </w:r>
    </w:p>
    <w:p w14:paraId="3A8E7B24">
      <w:pPr>
        <w:spacing w:line="520" w:lineRule="exact"/>
        <w:ind w:firstLine="640"/>
      </w:pPr>
      <w:r>
        <w:t>[</w:t>
      </w:r>
      <w:r>
        <w:rPr>
          <w:rFonts w:hint="eastAsia"/>
        </w:rPr>
        <w:t>8</w:t>
      </w:r>
      <w:r>
        <w:t>]</w:t>
      </w:r>
      <w:r>
        <w:rPr>
          <w:szCs w:val="32"/>
        </w:rPr>
        <w:t>国家药品监督管理局.</w:t>
      </w:r>
      <w:r>
        <w:t>关于发布免于临床评价医疗器械目录的通告:国家药监局通告2023年第33号[Z].</w:t>
      </w:r>
    </w:p>
    <w:p w14:paraId="0716F484">
      <w:pPr>
        <w:spacing w:line="520" w:lineRule="exact"/>
        <w:ind w:firstLine="640"/>
      </w:pPr>
      <w:r>
        <w:t>[</w:t>
      </w:r>
      <w:r>
        <w:rPr>
          <w:rFonts w:hint="eastAsia"/>
        </w:rPr>
        <w:t>9</w:t>
      </w:r>
      <w:r>
        <w:t>]</w:t>
      </w:r>
      <w:r>
        <w:rPr>
          <w:szCs w:val="32"/>
        </w:rPr>
        <w:t>国家药品监督管理局.</w:t>
      </w:r>
      <w:r>
        <w:t>医疗器械临床评价技术指导原则:国家药监局通告2021年第73号[Z].</w:t>
      </w:r>
    </w:p>
    <w:p w14:paraId="16AF16AA">
      <w:pPr>
        <w:spacing w:line="520" w:lineRule="exact"/>
        <w:ind w:firstLine="640"/>
      </w:pPr>
      <w:r>
        <w:t>[1</w:t>
      </w:r>
      <w:r>
        <w:rPr>
          <w:rFonts w:hint="eastAsia"/>
        </w:rPr>
        <w:t>0</w:t>
      </w:r>
      <w:r>
        <w:t>]</w:t>
      </w:r>
      <w:r>
        <w:rPr>
          <w:szCs w:val="32"/>
        </w:rPr>
        <w:t>国家药品监督管理局.</w:t>
      </w:r>
      <w:r>
        <w:t>医疗器械临床评价等同性论证技术指导原则:国家药监局通告2021年第73号[Z].</w:t>
      </w:r>
    </w:p>
    <w:p w14:paraId="56053FC3">
      <w:pPr>
        <w:spacing w:line="520" w:lineRule="exact"/>
        <w:ind w:firstLine="640"/>
      </w:pPr>
      <w:r>
        <w:t>[1</w:t>
      </w:r>
      <w:r>
        <w:rPr>
          <w:rFonts w:hint="eastAsia"/>
        </w:rPr>
        <w:t>1</w:t>
      </w:r>
      <w:r>
        <w:t>]</w:t>
      </w:r>
      <w:r>
        <w:rPr>
          <w:szCs w:val="32"/>
        </w:rPr>
        <w:t>国家药品监督管理局.</w:t>
      </w:r>
      <w:r>
        <w:t>医疗器械注册申报临床评价报告技术指导原则:国家药监局通告2021年第73号[Z].</w:t>
      </w:r>
    </w:p>
    <w:p w14:paraId="226C0B09">
      <w:pPr>
        <w:overflowPunct w:val="0"/>
        <w:spacing w:line="520" w:lineRule="exact"/>
        <w:ind w:firstLine="640"/>
        <w:rPr>
          <w:rStyle w:val="31"/>
          <w:sz w:val="32"/>
        </w:rPr>
      </w:pPr>
      <w:r>
        <w:t>[1</w:t>
      </w:r>
      <w:r>
        <w:rPr>
          <w:rFonts w:hint="eastAsia"/>
        </w:rPr>
        <w:t>2</w:t>
      </w:r>
      <w:r>
        <w:t>]</w:t>
      </w:r>
      <w:r>
        <w:rPr>
          <w:snapToGrid w:val="0"/>
          <w:kern w:val="0"/>
          <w:szCs w:val="32"/>
        </w:rPr>
        <w:t>原国家食品药品监督管理总局.</w:t>
      </w:r>
      <w:r>
        <w:rPr>
          <w:rStyle w:val="31"/>
          <w:sz w:val="32"/>
        </w:rPr>
        <w:t>医疗器械说明书和标签管理规定</w:t>
      </w:r>
      <w:r>
        <w:t>:</w:t>
      </w:r>
      <w:r>
        <w:rPr>
          <w:snapToGrid w:val="0"/>
          <w:kern w:val="0"/>
          <w:szCs w:val="32"/>
        </w:rPr>
        <w:t>国家食品药品监督管理总局令第6号[Z].</w:t>
      </w:r>
    </w:p>
    <w:p w14:paraId="25F02107">
      <w:pPr>
        <w:spacing w:line="520" w:lineRule="exact"/>
        <w:ind w:firstLine="640"/>
        <w:rPr>
          <w:szCs w:val="32"/>
        </w:rPr>
      </w:pPr>
      <w:r>
        <w:rPr>
          <w:szCs w:val="32"/>
        </w:rPr>
        <w:t>[1</w:t>
      </w:r>
      <w:r>
        <w:rPr>
          <w:rFonts w:hint="eastAsia"/>
          <w:szCs w:val="32"/>
        </w:rPr>
        <w:t>3</w:t>
      </w:r>
      <w:r>
        <w:rPr>
          <w:szCs w:val="32"/>
        </w:rPr>
        <w:t>]国家药品监督管理局.医疗器械注册申报资料要求和批准证明文件格式:国家药监局公告2021年第121号[Z].</w:t>
      </w:r>
    </w:p>
    <w:p w14:paraId="082FCB55">
      <w:pPr>
        <w:spacing w:line="520" w:lineRule="exact"/>
        <w:ind w:firstLine="640"/>
        <w:rPr>
          <w:szCs w:val="32"/>
        </w:rPr>
      </w:pPr>
      <w:r>
        <w:rPr>
          <w:szCs w:val="32"/>
        </w:rPr>
        <w:t>[1</w:t>
      </w:r>
      <w:r>
        <w:rPr>
          <w:rFonts w:hint="eastAsia"/>
          <w:szCs w:val="32"/>
        </w:rPr>
        <w:t>4</w:t>
      </w:r>
      <w:r>
        <w:rPr>
          <w:szCs w:val="32"/>
        </w:rPr>
        <w:t>]GB 9706.1-2020,医用电气设备 第1部分：基本安全和基本性能的通用要求[S].</w:t>
      </w:r>
    </w:p>
    <w:p w14:paraId="2C9841CA">
      <w:pPr>
        <w:spacing w:line="520" w:lineRule="exact"/>
        <w:ind w:firstLine="640"/>
      </w:pPr>
      <w:r>
        <w:rPr>
          <w:szCs w:val="32"/>
        </w:rPr>
        <w:t>[1</w:t>
      </w:r>
      <w:r>
        <w:rPr>
          <w:rFonts w:hint="eastAsia"/>
          <w:szCs w:val="32"/>
        </w:rPr>
        <w:t>5</w:t>
      </w:r>
      <w:r>
        <w:rPr>
          <w:szCs w:val="32"/>
        </w:rPr>
        <w:t>]YY 9706.102-2021,医用电气设备 第1-2部分：基本安全和基本性能的通用要求 并列标准：电磁兼容 要求和试验</w:t>
      </w:r>
      <w:r>
        <w:t>[S].</w:t>
      </w:r>
    </w:p>
    <w:p w14:paraId="6820A7EA">
      <w:pPr>
        <w:spacing w:line="520" w:lineRule="exact"/>
        <w:ind w:firstLine="640"/>
        <w:rPr>
          <w:szCs w:val="32"/>
        </w:rPr>
      </w:pPr>
      <w:r>
        <w:rPr>
          <w:szCs w:val="32"/>
        </w:rPr>
        <w:t>[1</w:t>
      </w:r>
      <w:r>
        <w:rPr>
          <w:rFonts w:hint="eastAsia"/>
          <w:szCs w:val="32"/>
        </w:rPr>
        <w:t>6</w:t>
      </w:r>
      <w:r>
        <w:rPr>
          <w:szCs w:val="32"/>
        </w:rPr>
        <w:t>]GB/T 4857,</w:t>
      </w:r>
      <w:r>
        <w:t xml:space="preserve"> 包装 运输包装件系列标准[S].</w:t>
      </w:r>
    </w:p>
    <w:p w14:paraId="47D6AB6D">
      <w:pPr>
        <w:spacing w:line="520" w:lineRule="exact"/>
        <w:ind w:firstLine="640"/>
        <w:rPr>
          <w:szCs w:val="32"/>
        </w:rPr>
      </w:pPr>
      <w:r>
        <w:rPr>
          <w:szCs w:val="32"/>
        </w:rPr>
        <w:t>[1</w:t>
      </w:r>
      <w:r>
        <w:rPr>
          <w:rFonts w:hint="eastAsia"/>
          <w:szCs w:val="32"/>
        </w:rPr>
        <w:t>7</w:t>
      </w:r>
      <w:r>
        <w:rPr>
          <w:szCs w:val="32"/>
        </w:rPr>
        <w:t>]GB/T 16886，医疗器械生物学评价系列标准</w:t>
      </w:r>
      <w:r>
        <w:t>[S].</w:t>
      </w:r>
    </w:p>
    <w:p w14:paraId="117B5243">
      <w:pPr>
        <w:spacing w:line="520" w:lineRule="exact"/>
        <w:ind w:firstLine="640"/>
      </w:pPr>
      <w:r>
        <w:rPr>
          <w:szCs w:val="32"/>
        </w:rPr>
        <w:t>[</w:t>
      </w:r>
      <w:r>
        <w:rPr>
          <w:rFonts w:hint="eastAsia"/>
          <w:szCs w:val="32"/>
        </w:rPr>
        <w:t>18</w:t>
      </w:r>
      <w:r>
        <w:rPr>
          <w:szCs w:val="32"/>
        </w:rPr>
        <w:t>]GB/T 42062-2022,医疗器械 风险管理对医疗器械的应用</w:t>
      </w:r>
      <w:r>
        <w:t>[S].</w:t>
      </w:r>
    </w:p>
    <w:p w14:paraId="430F89C4">
      <w:pPr>
        <w:spacing w:line="520" w:lineRule="exact"/>
        <w:ind w:firstLine="640"/>
      </w:pPr>
      <w:r>
        <w:rPr>
          <w:szCs w:val="32"/>
        </w:rPr>
        <w:t>[</w:t>
      </w:r>
      <w:r>
        <w:rPr>
          <w:rFonts w:hint="eastAsia"/>
          <w:szCs w:val="32"/>
        </w:rPr>
        <w:t>19</w:t>
      </w:r>
      <w:r>
        <w:rPr>
          <w:szCs w:val="32"/>
        </w:rPr>
        <w:t>]YY/T 1437-2023,医疗器械 GB/T 42062</w:t>
      </w:r>
      <w:r>
        <w:rPr>
          <w:rFonts w:hint="eastAsia"/>
          <w:szCs w:val="32"/>
        </w:rPr>
        <w:t>应用</w:t>
      </w:r>
      <w:r>
        <w:rPr>
          <w:szCs w:val="32"/>
        </w:rPr>
        <w:t>指南</w:t>
      </w:r>
      <w:r>
        <w:t>[S].</w:t>
      </w:r>
    </w:p>
    <w:p w14:paraId="4624EB3C">
      <w:pPr>
        <w:spacing w:line="520" w:lineRule="exact"/>
        <w:ind w:firstLine="640"/>
      </w:pPr>
      <w:r>
        <w:rPr>
          <w:rFonts w:hint="eastAsia"/>
          <w:szCs w:val="32"/>
        </w:rPr>
        <w:t>[20]GB/T 16886.1-2022</w:t>
      </w:r>
      <w:r>
        <w:rPr>
          <w:szCs w:val="32"/>
        </w:rPr>
        <w:t>,</w:t>
      </w:r>
      <w:r>
        <w:rPr>
          <w:rFonts w:hint="eastAsia"/>
          <w:szCs w:val="32"/>
        </w:rPr>
        <w:t>医疗器械生物学评价 第1部分:风险管理过程中的评价与试验[S].</w:t>
      </w:r>
    </w:p>
    <w:p w14:paraId="11613E22">
      <w:pPr>
        <w:spacing w:line="520" w:lineRule="exact"/>
        <w:ind w:firstLine="640"/>
        <w:rPr>
          <w:szCs w:val="32"/>
        </w:rPr>
      </w:pPr>
      <w:r>
        <w:rPr>
          <w:rFonts w:hint="eastAsia"/>
          <w:szCs w:val="32"/>
        </w:rPr>
        <w:t>[21]</w:t>
      </w:r>
      <w:r>
        <w:rPr>
          <w:szCs w:val="32"/>
        </w:rPr>
        <w:t>GB/T 25000.51-2016,系统与软件工程 系统与软件质量要</w:t>
      </w:r>
      <w:r>
        <w:rPr>
          <w:rFonts w:hint="eastAsia"/>
          <w:szCs w:val="32"/>
        </w:rPr>
        <w:t>求和评价（SQuaRE） 第 51 部分：就绪可用软件产品（RUSP）的质量要求和测试细则[S].</w:t>
      </w:r>
    </w:p>
    <w:p w14:paraId="5A994FF4">
      <w:pPr>
        <w:spacing w:line="520" w:lineRule="exact"/>
        <w:ind w:firstLine="640"/>
        <w:rPr>
          <w:szCs w:val="32"/>
        </w:rPr>
      </w:pPr>
      <w:r>
        <w:rPr>
          <w:rFonts w:hint="eastAsia"/>
          <w:szCs w:val="32"/>
        </w:rPr>
        <w:t>[22]T/HEBQIA 256-2024</w:t>
      </w:r>
      <w:r>
        <w:rPr>
          <w:szCs w:val="32"/>
        </w:rPr>
        <w:t>，</w:t>
      </w:r>
      <w:r>
        <w:rPr>
          <w:rFonts w:hint="eastAsia"/>
          <w:szCs w:val="32"/>
        </w:rPr>
        <w:t>低温冲击镇痛仪[S].</w:t>
      </w:r>
    </w:p>
    <w:p w14:paraId="469D26EC">
      <w:pPr>
        <w:spacing w:line="520" w:lineRule="exact"/>
        <w:ind w:firstLine="640"/>
        <w:rPr>
          <w:rFonts w:hint="eastAsia"/>
          <w:szCs w:val="32"/>
        </w:rPr>
      </w:pPr>
      <w:r>
        <w:rPr>
          <w:rFonts w:hint="eastAsia"/>
          <w:szCs w:val="32"/>
        </w:rPr>
        <w:t>[23]GB/T 21417.1-2008</w:t>
      </w:r>
      <w:r>
        <w:rPr>
          <w:szCs w:val="32"/>
        </w:rPr>
        <w:t>，</w:t>
      </w:r>
      <w:r>
        <w:rPr>
          <w:rFonts w:hint="eastAsia"/>
          <w:szCs w:val="32"/>
        </w:rPr>
        <w:t>医用红外体温计 第1部分：耳腔式[S].</w:t>
      </w:r>
    </w:p>
    <w:p w14:paraId="62A3A5E5">
      <w:pPr>
        <w:spacing w:line="520" w:lineRule="exact"/>
        <w:ind w:firstLine="640" w:firstLineChars="0"/>
        <w:rPr>
          <w:rFonts w:hint="eastAsia" w:eastAsia="仿宋_GB2312"/>
          <w:sz w:val="32"/>
          <w:szCs w:val="32"/>
        </w:rPr>
      </w:pPr>
      <w:r>
        <w:rPr>
          <w:rFonts w:hint="eastAsia" w:eastAsia="仿宋_GB2312"/>
          <w:sz w:val="32"/>
          <w:szCs w:val="32"/>
        </w:rPr>
        <w:t>[</w:t>
      </w:r>
      <w:r>
        <w:rPr>
          <w:rFonts w:hint="eastAsia"/>
          <w:sz w:val="32"/>
          <w:szCs w:val="32"/>
          <w:lang w:val="en-US" w:eastAsia="zh-CN"/>
        </w:rPr>
        <w:t>24</w:t>
      </w:r>
      <w:r>
        <w:rPr>
          <w:rFonts w:hint="eastAsia" w:eastAsia="仿宋_GB2312"/>
          <w:sz w:val="32"/>
          <w:szCs w:val="32"/>
        </w:rPr>
        <w:t xml:space="preserve">]YY/T 1778.1-2021,医疗应用中呼吸气体通路生物相容性评价 第1部分：风险管理过程中的评价与试验[S]. </w:t>
      </w:r>
    </w:p>
    <w:p w14:paraId="4D11E995">
      <w:pPr>
        <w:spacing w:line="520" w:lineRule="exact"/>
        <w:ind w:firstLine="640"/>
        <w:rPr>
          <w:rFonts w:hint="eastAsia"/>
          <w:szCs w:val="32"/>
        </w:rPr>
      </w:pPr>
    </w:p>
    <w:p w14:paraId="15EAF910">
      <w:pPr>
        <w:pStyle w:val="30"/>
        <w:spacing w:line="520" w:lineRule="exact"/>
        <w:rPr>
          <w:rFonts w:ascii="黑体" w:hAnsi="黑体" w:eastAsia="黑体" w:cs="黑体"/>
          <w:sz w:val="32"/>
          <w:szCs w:val="32"/>
        </w:rPr>
      </w:pPr>
      <w:r>
        <w:rPr>
          <w:szCs w:val="32"/>
        </w:rPr>
        <w:br w:type="page"/>
      </w:r>
      <w:r>
        <w:rPr>
          <w:rFonts w:hint="eastAsia" w:ascii="黑体" w:hAnsi="黑体" w:eastAsia="黑体" w:cs="黑体"/>
          <w:sz w:val="32"/>
          <w:szCs w:val="32"/>
        </w:rPr>
        <w:t>附件</w:t>
      </w:r>
    </w:p>
    <w:p w14:paraId="72619FAB">
      <w:pPr>
        <w:spacing w:after="217" w:afterLines="50" w:line="500" w:lineRule="exact"/>
        <w:ind w:firstLine="560"/>
        <w:jc w:val="center"/>
        <w:rPr>
          <w:rFonts w:ascii="黑体" w:hAnsi="黑体" w:eastAsia="黑体"/>
          <w:bCs/>
          <w:color w:val="000000"/>
          <w:sz w:val="28"/>
          <w:szCs w:val="28"/>
        </w:rPr>
      </w:pPr>
      <w:r>
        <w:rPr>
          <w:rFonts w:ascii="黑体" w:hAnsi="黑体" w:eastAsia="黑体"/>
          <w:bCs/>
          <w:color w:val="000000"/>
          <w:sz w:val="28"/>
          <w:szCs w:val="28"/>
        </w:rPr>
        <w:t>表</w:t>
      </w:r>
      <w:r>
        <w:rPr>
          <w:rFonts w:hint="eastAsia" w:ascii="黑体" w:hAnsi="黑体" w:eastAsia="黑体"/>
          <w:bCs/>
          <w:color w:val="000000"/>
          <w:sz w:val="28"/>
          <w:szCs w:val="28"/>
        </w:rPr>
        <w:t>1</w:t>
      </w:r>
      <w:r>
        <w:rPr>
          <w:rFonts w:ascii="黑体" w:hAnsi="黑体" w:eastAsia="黑体"/>
          <w:bCs/>
          <w:color w:val="000000"/>
          <w:sz w:val="28"/>
          <w:szCs w:val="28"/>
        </w:rPr>
        <w:t xml:space="preserve">  产品主要</w:t>
      </w:r>
      <w:r>
        <w:rPr>
          <w:rFonts w:hint="eastAsia" w:ascii="黑体" w:hAnsi="黑体" w:eastAsia="黑体"/>
          <w:bCs/>
          <w:color w:val="000000"/>
          <w:sz w:val="28"/>
          <w:szCs w:val="28"/>
        </w:rPr>
        <w:t>风险</w:t>
      </w:r>
    </w:p>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35"/>
        <w:gridCol w:w="3590"/>
        <w:gridCol w:w="2096"/>
        <w:gridCol w:w="1601"/>
      </w:tblGrid>
      <w:tr w14:paraId="09BC4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0" w:hRule="atLeast"/>
          <w:tblHeader/>
          <w:jc w:val="center"/>
        </w:trPr>
        <w:tc>
          <w:tcPr>
            <w:tcW w:w="1235" w:type="dxa"/>
            <w:vAlign w:val="center"/>
          </w:tcPr>
          <w:p w14:paraId="2637608E">
            <w:pPr>
              <w:widowControl/>
              <w:spacing w:before="100" w:beforeAutospacing="1" w:after="100" w:afterAutospacing="1" w:line="440" w:lineRule="exact"/>
              <w:ind w:firstLine="0" w:firstLineChars="0"/>
              <w:jc w:val="center"/>
              <w:rPr>
                <w:b/>
                <w:sz w:val="28"/>
                <w:szCs w:val="28"/>
              </w:rPr>
            </w:pPr>
            <w:r>
              <w:rPr>
                <w:rFonts w:hint="eastAsia"/>
                <w:b/>
                <w:sz w:val="28"/>
                <w:szCs w:val="28"/>
              </w:rPr>
              <w:t>风险类型</w:t>
            </w:r>
          </w:p>
        </w:tc>
        <w:tc>
          <w:tcPr>
            <w:tcW w:w="3590" w:type="dxa"/>
            <w:vAlign w:val="center"/>
          </w:tcPr>
          <w:p w14:paraId="357FDDC3">
            <w:pPr>
              <w:widowControl/>
              <w:spacing w:before="100" w:beforeAutospacing="1" w:after="100" w:afterAutospacing="1" w:line="440" w:lineRule="exact"/>
              <w:ind w:firstLine="0" w:firstLineChars="0"/>
              <w:jc w:val="center"/>
              <w:rPr>
                <w:b/>
                <w:sz w:val="28"/>
                <w:szCs w:val="28"/>
              </w:rPr>
            </w:pPr>
            <w:r>
              <w:rPr>
                <w:rFonts w:hint="eastAsia"/>
                <w:b/>
                <w:sz w:val="28"/>
                <w:szCs w:val="28"/>
              </w:rPr>
              <w:t>可预见的事件序列</w:t>
            </w:r>
          </w:p>
        </w:tc>
        <w:tc>
          <w:tcPr>
            <w:tcW w:w="2096" w:type="dxa"/>
            <w:vAlign w:val="center"/>
          </w:tcPr>
          <w:p w14:paraId="056B41D5">
            <w:pPr>
              <w:widowControl/>
              <w:spacing w:before="100" w:beforeAutospacing="1" w:after="100" w:afterAutospacing="1" w:line="440" w:lineRule="exact"/>
              <w:ind w:firstLine="0" w:firstLineChars="0"/>
              <w:jc w:val="center"/>
              <w:rPr>
                <w:b/>
                <w:sz w:val="28"/>
                <w:szCs w:val="28"/>
              </w:rPr>
            </w:pPr>
            <w:r>
              <w:rPr>
                <w:rFonts w:hint="eastAsia"/>
                <w:b/>
                <w:sz w:val="28"/>
                <w:szCs w:val="28"/>
              </w:rPr>
              <w:t>风险情况</w:t>
            </w:r>
          </w:p>
        </w:tc>
        <w:tc>
          <w:tcPr>
            <w:tcW w:w="1601" w:type="dxa"/>
            <w:vAlign w:val="center"/>
          </w:tcPr>
          <w:p w14:paraId="7EC9407F">
            <w:pPr>
              <w:widowControl/>
              <w:spacing w:before="100" w:beforeAutospacing="1" w:after="100" w:afterAutospacing="1" w:line="440" w:lineRule="exact"/>
              <w:ind w:firstLine="0" w:firstLineChars="0"/>
              <w:jc w:val="center"/>
              <w:rPr>
                <w:b/>
                <w:sz w:val="28"/>
                <w:szCs w:val="28"/>
              </w:rPr>
            </w:pPr>
            <w:r>
              <w:rPr>
                <w:rFonts w:hint="eastAsia"/>
                <w:b/>
                <w:sz w:val="28"/>
                <w:szCs w:val="28"/>
              </w:rPr>
              <w:t>可能的后果</w:t>
            </w:r>
          </w:p>
        </w:tc>
      </w:tr>
      <w:tr w14:paraId="79EC3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Merge w:val="restart"/>
            <w:vAlign w:val="center"/>
          </w:tcPr>
          <w:p w14:paraId="1777E00C">
            <w:pPr>
              <w:spacing w:line="440" w:lineRule="exact"/>
              <w:ind w:firstLine="0" w:firstLineChars="0"/>
              <w:rPr>
                <w:sz w:val="28"/>
                <w:szCs w:val="28"/>
              </w:rPr>
            </w:pPr>
            <w:r>
              <w:rPr>
                <w:rFonts w:hint="eastAsia"/>
                <w:sz w:val="28"/>
                <w:szCs w:val="28"/>
              </w:rPr>
              <w:t>能量危险</w:t>
            </w:r>
          </w:p>
        </w:tc>
        <w:tc>
          <w:tcPr>
            <w:tcW w:w="3590" w:type="dxa"/>
            <w:vAlign w:val="center"/>
          </w:tcPr>
          <w:p w14:paraId="6CDAEB72">
            <w:pPr>
              <w:spacing w:line="440" w:lineRule="exact"/>
              <w:ind w:firstLine="0" w:firstLineChars="0"/>
              <w:rPr>
                <w:sz w:val="28"/>
                <w:szCs w:val="28"/>
              </w:rPr>
            </w:pPr>
            <w:r>
              <w:rPr>
                <w:rFonts w:hint="eastAsia"/>
                <w:sz w:val="28"/>
                <w:szCs w:val="28"/>
              </w:rPr>
              <w:t>可触及金属、外壳等与带电部分隔离/保护不够，电介质强度不够，可能对使用者造成电击危害</w:t>
            </w:r>
          </w:p>
        </w:tc>
        <w:tc>
          <w:tcPr>
            <w:tcW w:w="2096" w:type="dxa"/>
          </w:tcPr>
          <w:p w14:paraId="2587725F">
            <w:pPr>
              <w:spacing w:line="440" w:lineRule="exact"/>
              <w:ind w:firstLine="0" w:firstLineChars="0"/>
              <w:rPr>
                <w:sz w:val="28"/>
                <w:szCs w:val="28"/>
              </w:rPr>
            </w:pPr>
            <w:r>
              <w:rPr>
                <w:rFonts w:hint="eastAsia"/>
                <w:sz w:val="28"/>
                <w:szCs w:val="28"/>
              </w:rPr>
              <w:t>电损伤</w:t>
            </w:r>
          </w:p>
        </w:tc>
        <w:tc>
          <w:tcPr>
            <w:tcW w:w="1601" w:type="dxa"/>
            <w:vAlign w:val="center"/>
          </w:tcPr>
          <w:p w14:paraId="583B6706">
            <w:pPr>
              <w:spacing w:line="440" w:lineRule="exact"/>
              <w:ind w:firstLine="0" w:firstLineChars="0"/>
              <w:rPr>
                <w:sz w:val="28"/>
                <w:szCs w:val="28"/>
              </w:rPr>
            </w:pPr>
            <w:r>
              <w:rPr>
                <w:rFonts w:hint="eastAsia"/>
                <w:sz w:val="28"/>
                <w:szCs w:val="28"/>
              </w:rPr>
              <w:t>造成使用者或患者的电击伤害</w:t>
            </w:r>
          </w:p>
        </w:tc>
      </w:tr>
      <w:tr w14:paraId="78DAB6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Merge w:val="continue"/>
            <w:vAlign w:val="center"/>
          </w:tcPr>
          <w:p w14:paraId="767CF67E">
            <w:pPr>
              <w:spacing w:line="440" w:lineRule="exact"/>
              <w:ind w:firstLine="0" w:firstLineChars="0"/>
              <w:rPr>
                <w:sz w:val="28"/>
                <w:szCs w:val="28"/>
              </w:rPr>
            </w:pPr>
          </w:p>
        </w:tc>
        <w:tc>
          <w:tcPr>
            <w:tcW w:w="3590" w:type="dxa"/>
            <w:vAlign w:val="center"/>
          </w:tcPr>
          <w:p w14:paraId="330928E6">
            <w:pPr>
              <w:spacing w:line="440" w:lineRule="exact"/>
              <w:ind w:firstLine="0" w:firstLineChars="0"/>
              <w:rPr>
                <w:sz w:val="28"/>
                <w:szCs w:val="28"/>
              </w:rPr>
            </w:pPr>
            <w:r>
              <w:rPr>
                <w:rFonts w:hint="eastAsia"/>
                <w:sz w:val="28"/>
                <w:szCs w:val="28"/>
              </w:rPr>
              <w:t>抗电磁干扰能力差</w:t>
            </w:r>
          </w:p>
        </w:tc>
        <w:tc>
          <w:tcPr>
            <w:tcW w:w="2096" w:type="dxa"/>
          </w:tcPr>
          <w:p w14:paraId="0172D367">
            <w:pPr>
              <w:spacing w:line="440" w:lineRule="exact"/>
              <w:ind w:firstLine="0" w:firstLineChars="0"/>
              <w:rPr>
                <w:sz w:val="28"/>
                <w:szCs w:val="28"/>
              </w:rPr>
            </w:pPr>
            <w:r>
              <w:rPr>
                <w:rFonts w:hint="eastAsia"/>
                <w:sz w:val="28"/>
                <w:szCs w:val="28"/>
              </w:rPr>
              <w:t>特定环境下工作不正常，或干扰其他设备正常工作</w:t>
            </w:r>
          </w:p>
        </w:tc>
        <w:tc>
          <w:tcPr>
            <w:tcW w:w="1601" w:type="dxa"/>
            <w:vAlign w:val="center"/>
          </w:tcPr>
          <w:p w14:paraId="2D24D3B6">
            <w:pPr>
              <w:spacing w:line="440" w:lineRule="exact"/>
              <w:ind w:firstLine="0" w:firstLineChars="0"/>
              <w:rPr>
                <w:sz w:val="28"/>
                <w:szCs w:val="28"/>
              </w:rPr>
            </w:pPr>
            <w:r>
              <w:rPr>
                <w:rFonts w:hint="eastAsia"/>
                <w:sz w:val="28"/>
                <w:szCs w:val="28"/>
              </w:rPr>
              <w:t>影响设备使用</w:t>
            </w:r>
          </w:p>
        </w:tc>
      </w:tr>
      <w:tr w14:paraId="7D69D9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Merge w:val="continue"/>
            <w:vAlign w:val="center"/>
          </w:tcPr>
          <w:p w14:paraId="79A85DDA">
            <w:pPr>
              <w:spacing w:line="440" w:lineRule="exact"/>
              <w:ind w:firstLine="0" w:firstLineChars="0"/>
              <w:rPr>
                <w:sz w:val="28"/>
                <w:szCs w:val="28"/>
              </w:rPr>
            </w:pPr>
          </w:p>
        </w:tc>
        <w:tc>
          <w:tcPr>
            <w:tcW w:w="3590" w:type="dxa"/>
            <w:vAlign w:val="center"/>
          </w:tcPr>
          <w:p w14:paraId="4B255BD2">
            <w:pPr>
              <w:spacing w:line="440" w:lineRule="exact"/>
              <w:ind w:firstLine="0" w:firstLineChars="0"/>
              <w:rPr>
                <w:sz w:val="28"/>
                <w:szCs w:val="28"/>
              </w:rPr>
            </w:pPr>
            <w:r>
              <w:rPr>
                <w:rFonts w:hint="eastAsia"/>
                <w:sz w:val="28"/>
                <w:szCs w:val="28"/>
              </w:rPr>
              <w:t>产品面、角、边粗糙</w:t>
            </w:r>
          </w:p>
        </w:tc>
        <w:tc>
          <w:tcPr>
            <w:tcW w:w="2096" w:type="dxa"/>
            <w:vAlign w:val="center"/>
          </w:tcPr>
          <w:p w14:paraId="73406938">
            <w:pPr>
              <w:spacing w:line="440" w:lineRule="exact"/>
              <w:ind w:firstLine="0" w:firstLineChars="0"/>
              <w:rPr>
                <w:sz w:val="28"/>
                <w:szCs w:val="28"/>
              </w:rPr>
            </w:pPr>
            <w:r>
              <w:rPr>
                <w:rFonts w:hint="eastAsia"/>
                <w:sz w:val="28"/>
                <w:szCs w:val="28"/>
              </w:rPr>
              <w:t>机械损伤</w:t>
            </w:r>
          </w:p>
        </w:tc>
        <w:tc>
          <w:tcPr>
            <w:tcW w:w="1601" w:type="dxa"/>
            <w:vAlign w:val="center"/>
          </w:tcPr>
          <w:p w14:paraId="091172B2">
            <w:pPr>
              <w:spacing w:line="440" w:lineRule="exact"/>
              <w:ind w:firstLine="0" w:firstLineChars="0"/>
              <w:rPr>
                <w:sz w:val="28"/>
                <w:szCs w:val="28"/>
              </w:rPr>
            </w:pPr>
            <w:r>
              <w:rPr>
                <w:rFonts w:hint="eastAsia"/>
                <w:sz w:val="28"/>
                <w:szCs w:val="28"/>
              </w:rPr>
              <w:t>造成患者损伤</w:t>
            </w:r>
          </w:p>
        </w:tc>
      </w:tr>
      <w:tr w14:paraId="47B36E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Merge w:val="continue"/>
            <w:vAlign w:val="center"/>
          </w:tcPr>
          <w:p w14:paraId="60BB7EE2">
            <w:pPr>
              <w:spacing w:line="440" w:lineRule="exact"/>
              <w:ind w:firstLine="0" w:firstLineChars="0"/>
              <w:rPr>
                <w:sz w:val="28"/>
                <w:szCs w:val="28"/>
              </w:rPr>
            </w:pPr>
          </w:p>
        </w:tc>
        <w:tc>
          <w:tcPr>
            <w:tcW w:w="3590" w:type="dxa"/>
            <w:vAlign w:val="center"/>
          </w:tcPr>
          <w:p w14:paraId="13FF916D">
            <w:pPr>
              <w:spacing w:line="440" w:lineRule="exact"/>
              <w:ind w:firstLine="0" w:firstLineChars="0"/>
              <w:rPr>
                <w:color w:val="000000"/>
                <w:sz w:val="28"/>
                <w:szCs w:val="28"/>
              </w:rPr>
            </w:pPr>
            <w:r>
              <w:rPr>
                <w:rFonts w:hint="eastAsia"/>
                <w:color w:val="000000"/>
                <w:sz w:val="28"/>
                <w:szCs w:val="28"/>
              </w:rPr>
              <w:t>温度过低</w:t>
            </w:r>
          </w:p>
        </w:tc>
        <w:tc>
          <w:tcPr>
            <w:tcW w:w="2096" w:type="dxa"/>
            <w:vAlign w:val="center"/>
          </w:tcPr>
          <w:p w14:paraId="4E7AB699">
            <w:pPr>
              <w:spacing w:line="440" w:lineRule="exact"/>
              <w:ind w:firstLine="0" w:firstLineChars="0"/>
              <w:rPr>
                <w:color w:val="000000"/>
                <w:sz w:val="28"/>
                <w:szCs w:val="28"/>
              </w:rPr>
            </w:pPr>
            <w:r>
              <w:rPr>
                <w:rFonts w:hint="eastAsia"/>
                <w:color w:val="000000"/>
                <w:sz w:val="28"/>
                <w:szCs w:val="28"/>
              </w:rPr>
              <w:t>温度失控：温度传感器偏差，实际温度与显示值不符；机械故障：喷射口堵塞或气流不均匀，导致局部温度骤降或冷热不均</w:t>
            </w:r>
          </w:p>
        </w:tc>
        <w:tc>
          <w:tcPr>
            <w:tcW w:w="1601" w:type="dxa"/>
            <w:vAlign w:val="center"/>
          </w:tcPr>
          <w:p w14:paraId="54BBE7AB">
            <w:pPr>
              <w:spacing w:line="440" w:lineRule="exact"/>
              <w:ind w:firstLine="0" w:firstLineChars="0"/>
              <w:rPr>
                <w:color w:val="000000"/>
                <w:sz w:val="28"/>
                <w:szCs w:val="28"/>
              </w:rPr>
            </w:pPr>
            <w:r>
              <w:rPr>
                <w:rFonts w:hint="eastAsia"/>
                <w:color w:val="000000"/>
                <w:sz w:val="28"/>
                <w:szCs w:val="28"/>
              </w:rPr>
              <w:t>造成患者冻伤</w:t>
            </w:r>
          </w:p>
        </w:tc>
      </w:tr>
      <w:tr w14:paraId="4A1EB4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Merge w:val="restart"/>
            <w:vAlign w:val="center"/>
          </w:tcPr>
          <w:p w14:paraId="4990D364">
            <w:pPr>
              <w:spacing w:line="440" w:lineRule="exact"/>
              <w:ind w:firstLine="0" w:firstLineChars="0"/>
              <w:rPr>
                <w:sz w:val="28"/>
                <w:szCs w:val="28"/>
              </w:rPr>
            </w:pPr>
            <w:r>
              <w:rPr>
                <w:rFonts w:hint="eastAsia"/>
                <w:sz w:val="28"/>
                <w:szCs w:val="28"/>
              </w:rPr>
              <w:t>操作危险</w:t>
            </w:r>
          </w:p>
        </w:tc>
        <w:tc>
          <w:tcPr>
            <w:tcW w:w="3590" w:type="dxa"/>
            <w:vAlign w:val="center"/>
          </w:tcPr>
          <w:p w14:paraId="540A7CCB">
            <w:pPr>
              <w:spacing w:line="440" w:lineRule="exact"/>
              <w:ind w:firstLine="0" w:firstLineChars="0"/>
              <w:rPr>
                <w:sz w:val="28"/>
                <w:szCs w:val="28"/>
              </w:rPr>
            </w:pPr>
            <w:r>
              <w:rPr>
                <w:rFonts w:hint="eastAsia"/>
                <w:sz w:val="28"/>
                <w:szCs w:val="28"/>
              </w:rPr>
              <w:t>使用错误</w:t>
            </w:r>
          </w:p>
        </w:tc>
        <w:tc>
          <w:tcPr>
            <w:tcW w:w="2096" w:type="dxa"/>
            <w:vAlign w:val="center"/>
          </w:tcPr>
          <w:p w14:paraId="31624CF1">
            <w:pPr>
              <w:spacing w:line="440" w:lineRule="exact"/>
              <w:ind w:firstLine="0" w:firstLineChars="0"/>
              <w:rPr>
                <w:sz w:val="28"/>
                <w:szCs w:val="28"/>
              </w:rPr>
            </w:pPr>
            <w:r>
              <w:rPr>
                <w:rFonts w:hint="eastAsia"/>
                <w:sz w:val="28"/>
                <w:szCs w:val="28"/>
              </w:rPr>
              <w:t>产品偏离正常使用状态</w:t>
            </w:r>
          </w:p>
        </w:tc>
        <w:tc>
          <w:tcPr>
            <w:tcW w:w="1601" w:type="dxa"/>
            <w:vAlign w:val="center"/>
          </w:tcPr>
          <w:p w14:paraId="232E812F">
            <w:pPr>
              <w:spacing w:line="440" w:lineRule="exact"/>
              <w:ind w:firstLine="0" w:firstLineChars="0"/>
              <w:rPr>
                <w:sz w:val="28"/>
                <w:szCs w:val="28"/>
              </w:rPr>
            </w:pPr>
            <w:r>
              <w:rPr>
                <w:rFonts w:hint="eastAsia"/>
                <w:sz w:val="28"/>
                <w:szCs w:val="28"/>
              </w:rPr>
              <w:t>造成患者损伤</w:t>
            </w:r>
          </w:p>
        </w:tc>
      </w:tr>
      <w:tr w14:paraId="616247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Merge w:val="continue"/>
            <w:vAlign w:val="center"/>
          </w:tcPr>
          <w:p w14:paraId="16FC96F6">
            <w:pPr>
              <w:spacing w:line="440" w:lineRule="exact"/>
              <w:ind w:firstLine="0" w:firstLineChars="0"/>
              <w:rPr>
                <w:sz w:val="28"/>
                <w:szCs w:val="28"/>
              </w:rPr>
            </w:pPr>
          </w:p>
        </w:tc>
        <w:tc>
          <w:tcPr>
            <w:tcW w:w="3590" w:type="dxa"/>
            <w:vAlign w:val="center"/>
          </w:tcPr>
          <w:p w14:paraId="73381B47">
            <w:pPr>
              <w:spacing w:line="440" w:lineRule="exact"/>
              <w:ind w:firstLine="0" w:firstLineChars="0"/>
              <w:rPr>
                <w:sz w:val="28"/>
                <w:szCs w:val="28"/>
              </w:rPr>
            </w:pPr>
            <w:r>
              <w:rPr>
                <w:rFonts w:hint="eastAsia"/>
                <w:sz w:val="28"/>
                <w:szCs w:val="28"/>
              </w:rPr>
              <w:t>日常使用、维护未按规定进行，温度传感器显示不准确</w:t>
            </w:r>
          </w:p>
        </w:tc>
        <w:tc>
          <w:tcPr>
            <w:tcW w:w="2096" w:type="dxa"/>
            <w:vAlign w:val="center"/>
          </w:tcPr>
          <w:p w14:paraId="4A7B70AC">
            <w:pPr>
              <w:spacing w:line="440" w:lineRule="exact"/>
              <w:ind w:firstLine="0" w:firstLineChars="0"/>
              <w:rPr>
                <w:sz w:val="28"/>
                <w:szCs w:val="28"/>
              </w:rPr>
            </w:pPr>
            <w:r>
              <w:rPr>
                <w:rFonts w:hint="eastAsia"/>
                <w:sz w:val="28"/>
                <w:szCs w:val="28"/>
              </w:rPr>
              <w:t>持续低温治疗</w:t>
            </w:r>
          </w:p>
        </w:tc>
        <w:tc>
          <w:tcPr>
            <w:tcW w:w="1601" w:type="dxa"/>
            <w:vAlign w:val="center"/>
          </w:tcPr>
          <w:p w14:paraId="7C9E5650">
            <w:pPr>
              <w:spacing w:line="440" w:lineRule="exact"/>
              <w:ind w:firstLine="0" w:firstLineChars="0"/>
              <w:rPr>
                <w:sz w:val="28"/>
                <w:szCs w:val="28"/>
              </w:rPr>
            </w:pPr>
            <w:r>
              <w:rPr>
                <w:rFonts w:hint="eastAsia"/>
                <w:sz w:val="28"/>
                <w:szCs w:val="28"/>
              </w:rPr>
              <w:t>造成患者冻伤</w:t>
            </w:r>
          </w:p>
        </w:tc>
      </w:tr>
      <w:tr w14:paraId="5B690B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Merge w:val="continue"/>
            <w:vAlign w:val="center"/>
          </w:tcPr>
          <w:p w14:paraId="125CFC73">
            <w:pPr>
              <w:spacing w:line="440" w:lineRule="exact"/>
              <w:ind w:firstLine="0" w:firstLineChars="0"/>
              <w:rPr>
                <w:sz w:val="28"/>
                <w:szCs w:val="28"/>
              </w:rPr>
            </w:pPr>
          </w:p>
        </w:tc>
        <w:tc>
          <w:tcPr>
            <w:tcW w:w="3590" w:type="dxa"/>
            <w:vAlign w:val="center"/>
          </w:tcPr>
          <w:p w14:paraId="144D7530">
            <w:pPr>
              <w:spacing w:line="440" w:lineRule="exact"/>
              <w:ind w:firstLine="0" w:firstLineChars="0"/>
              <w:rPr>
                <w:sz w:val="28"/>
                <w:szCs w:val="28"/>
              </w:rPr>
            </w:pPr>
            <w:r>
              <w:rPr>
                <w:rFonts w:hint="eastAsia"/>
                <w:sz w:val="28"/>
                <w:szCs w:val="28"/>
              </w:rPr>
              <w:t>设备的老化、过期</w:t>
            </w:r>
          </w:p>
        </w:tc>
        <w:tc>
          <w:tcPr>
            <w:tcW w:w="2096" w:type="dxa"/>
            <w:vAlign w:val="center"/>
          </w:tcPr>
          <w:p w14:paraId="7A9568C2">
            <w:pPr>
              <w:spacing w:line="440" w:lineRule="exact"/>
              <w:ind w:firstLine="0" w:firstLineChars="0"/>
              <w:rPr>
                <w:sz w:val="28"/>
                <w:szCs w:val="28"/>
              </w:rPr>
            </w:pPr>
            <w:r>
              <w:rPr>
                <w:rFonts w:hint="eastAsia"/>
                <w:sz w:val="28"/>
                <w:szCs w:val="28"/>
              </w:rPr>
              <w:t>继续使用过期的治疗仪</w:t>
            </w:r>
          </w:p>
        </w:tc>
        <w:tc>
          <w:tcPr>
            <w:tcW w:w="1601" w:type="dxa"/>
            <w:vAlign w:val="center"/>
          </w:tcPr>
          <w:p w14:paraId="50E0CEC4">
            <w:pPr>
              <w:spacing w:line="440" w:lineRule="exact"/>
              <w:ind w:firstLine="0" w:firstLineChars="0"/>
              <w:rPr>
                <w:sz w:val="28"/>
                <w:szCs w:val="28"/>
              </w:rPr>
            </w:pPr>
            <w:r>
              <w:rPr>
                <w:rFonts w:hint="eastAsia"/>
                <w:sz w:val="28"/>
                <w:szCs w:val="28"/>
              </w:rPr>
              <w:t>损伤患者或延误治疗</w:t>
            </w:r>
          </w:p>
        </w:tc>
      </w:tr>
      <w:tr w14:paraId="15F86A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Merge w:val="continue"/>
            <w:vAlign w:val="center"/>
          </w:tcPr>
          <w:p w14:paraId="67E8F0E0">
            <w:pPr>
              <w:spacing w:line="440" w:lineRule="exact"/>
              <w:ind w:firstLine="0" w:firstLineChars="0"/>
              <w:rPr>
                <w:sz w:val="28"/>
                <w:szCs w:val="28"/>
              </w:rPr>
            </w:pPr>
          </w:p>
        </w:tc>
        <w:tc>
          <w:tcPr>
            <w:tcW w:w="3590" w:type="dxa"/>
            <w:vAlign w:val="center"/>
          </w:tcPr>
          <w:p w14:paraId="6E6DA0C2">
            <w:pPr>
              <w:spacing w:line="440" w:lineRule="exact"/>
              <w:ind w:firstLine="0" w:firstLineChars="0"/>
              <w:rPr>
                <w:sz w:val="28"/>
                <w:szCs w:val="28"/>
              </w:rPr>
            </w:pPr>
            <w:r>
              <w:rPr>
                <w:rFonts w:hint="eastAsia"/>
                <w:sz w:val="28"/>
                <w:szCs w:val="28"/>
              </w:rPr>
              <w:t>治疗时未先连接二氧化碳气瓶</w:t>
            </w:r>
          </w:p>
        </w:tc>
        <w:tc>
          <w:tcPr>
            <w:tcW w:w="2096" w:type="dxa"/>
            <w:vAlign w:val="center"/>
          </w:tcPr>
          <w:p w14:paraId="7EBD1514">
            <w:pPr>
              <w:spacing w:line="440" w:lineRule="exact"/>
              <w:ind w:firstLine="0" w:firstLineChars="0"/>
              <w:rPr>
                <w:sz w:val="28"/>
                <w:szCs w:val="28"/>
              </w:rPr>
            </w:pPr>
            <w:r>
              <w:rPr>
                <w:rFonts w:hint="eastAsia"/>
                <w:sz w:val="28"/>
                <w:szCs w:val="28"/>
              </w:rPr>
              <w:t>气瓶未连接到位</w:t>
            </w:r>
          </w:p>
        </w:tc>
        <w:tc>
          <w:tcPr>
            <w:tcW w:w="1601" w:type="dxa"/>
            <w:vAlign w:val="center"/>
          </w:tcPr>
          <w:p w14:paraId="36DEA1F8">
            <w:pPr>
              <w:spacing w:line="440" w:lineRule="exact"/>
              <w:ind w:firstLine="0" w:firstLineChars="0"/>
              <w:rPr>
                <w:sz w:val="28"/>
                <w:szCs w:val="28"/>
              </w:rPr>
            </w:pPr>
            <w:r>
              <w:rPr>
                <w:rFonts w:hint="eastAsia"/>
                <w:sz w:val="28"/>
                <w:szCs w:val="28"/>
              </w:rPr>
              <w:t>延误治疗</w:t>
            </w:r>
          </w:p>
        </w:tc>
      </w:tr>
      <w:tr w14:paraId="3C95E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Merge w:val="restart"/>
            <w:vAlign w:val="center"/>
          </w:tcPr>
          <w:p w14:paraId="762448C6">
            <w:pPr>
              <w:spacing w:line="440" w:lineRule="exact"/>
              <w:ind w:firstLine="0" w:firstLineChars="0"/>
              <w:rPr>
                <w:sz w:val="28"/>
                <w:szCs w:val="28"/>
              </w:rPr>
            </w:pPr>
            <w:r>
              <w:rPr>
                <w:rFonts w:hint="eastAsia"/>
                <w:sz w:val="28"/>
                <w:szCs w:val="28"/>
              </w:rPr>
              <w:t>信息危险</w:t>
            </w:r>
          </w:p>
        </w:tc>
        <w:tc>
          <w:tcPr>
            <w:tcW w:w="3590" w:type="dxa"/>
            <w:vAlign w:val="center"/>
          </w:tcPr>
          <w:p w14:paraId="6908CBE3">
            <w:pPr>
              <w:spacing w:line="440" w:lineRule="exact"/>
              <w:ind w:firstLine="0" w:firstLineChars="0"/>
              <w:rPr>
                <w:sz w:val="28"/>
                <w:szCs w:val="28"/>
              </w:rPr>
            </w:pPr>
            <w:r>
              <w:rPr>
                <w:rFonts w:hint="eastAsia"/>
                <w:sz w:val="28"/>
                <w:szCs w:val="28"/>
              </w:rPr>
              <w:t>标记缺少或不正确，标记的位置不正确，不能被正确的识别，不能永久贴牢和清楚易认等</w:t>
            </w:r>
          </w:p>
        </w:tc>
        <w:tc>
          <w:tcPr>
            <w:tcW w:w="2096" w:type="dxa"/>
            <w:vAlign w:val="center"/>
          </w:tcPr>
          <w:p w14:paraId="1182BC54">
            <w:pPr>
              <w:spacing w:line="440" w:lineRule="exact"/>
              <w:ind w:firstLine="0" w:firstLineChars="0"/>
              <w:rPr>
                <w:sz w:val="28"/>
                <w:szCs w:val="28"/>
              </w:rPr>
            </w:pPr>
            <w:r>
              <w:rPr>
                <w:rFonts w:hint="eastAsia"/>
                <w:sz w:val="28"/>
                <w:szCs w:val="28"/>
              </w:rPr>
              <w:t>进行了错误操作</w:t>
            </w:r>
          </w:p>
        </w:tc>
        <w:tc>
          <w:tcPr>
            <w:tcW w:w="1601" w:type="dxa"/>
            <w:vAlign w:val="center"/>
          </w:tcPr>
          <w:p w14:paraId="5F7F9577">
            <w:pPr>
              <w:spacing w:line="440" w:lineRule="exact"/>
              <w:ind w:firstLine="0" w:firstLineChars="0"/>
              <w:rPr>
                <w:sz w:val="28"/>
                <w:szCs w:val="28"/>
              </w:rPr>
            </w:pPr>
            <w:r>
              <w:rPr>
                <w:rFonts w:hint="eastAsia"/>
                <w:sz w:val="28"/>
                <w:szCs w:val="28"/>
              </w:rPr>
              <w:t>患者损伤</w:t>
            </w:r>
          </w:p>
        </w:tc>
      </w:tr>
      <w:tr w14:paraId="208BCC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Merge w:val="continue"/>
            <w:vAlign w:val="center"/>
          </w:tcPr>
          <w:p w14:paraId="5D52F211">
            <w:pPr>
              <w:spacing w:line="440" w:lineRule="exact"/>
              <w:ind w:firstLine="0" w:firstLineChars="0"/>
              <w:rPr>
                <w:sz w:val="28"/>
                <w:szCs w:val="28"/>
              </w:rPr>
            </w:pPr>
          </w:p>
        </w:tc>
        <w:tc>
          <w:tcPr>
            <w:tcW w:w="3590" w:type="dxa"/>
            <w:vAlign w:val="center"/>
          </w:tcPr>
          <w:p w14:paraId="521D6824">
            <w:pPr>
              <w:spacing w:line="440" w:lineRule="exact"/>
              <w:ind w:firstLine="0" w:firstLineChars="0"/>
              <w:rPr>
                <w:sz w:val="28"/>
                <w:szCs w:val="28"/>
              </w:rPr>
            </w:pPr>
            <w:r>
              <w:rPr>
                <w:rFonts w:hint="eastAsia"/>
                <w:sz w:val="28"/>
                <w:szCs w:val="28"/>
              </w:rPr>
              <w:t>说明书中对产品性能特征、预期用途、使用限制等描述不规范、不完整，导致产品的非预期或超范围使用</w:t>
            </w:r>
          </w:p>
        </w:tc>
        <w:tc>
          <w:tcPr>
            <w:tcW w:w="2096" w:type="dxa"/>
            <w:vAlign w:val="center"/>
          </w:tcPr>
          <w:p w14:paraId="4D31117B">
            <w:pPr>
              <w:spacing w:line="440" w:lineRule="exact"/>
              <w:ind w:firstLine="0" w:firstLineChars="0"/>
              <w:rPr>
                <w:sz w:val="28"/>
                <w:szCs w:val="28"/>
              </w:rPr>
            </w:pPr>
            <w:r>
              <w:rPr>
                <w:rFonts w:hint="eastAsia"/>
                <w:sz w:val="28"/>
                <w:szCs w:val="28"/>
              </w:rPr>
              <w:t>进行了错误操作</w:t>
            </w:r>
          </w:p>
        </w:tc>
        <w:tc>
          <w:tcPr>
            <w:tcW w:w="1601" w:type="dxa"/>
            <w:vAlign w:val="center"/>
          </w:tcPr>
          <w:p w14:paraId="6E7884CE">
            <w:pPr>
              <w:spacing w:line="440" w:lineRule="exact"/>
              <w:ind w:firstLine="0" w:firstLineChars="0"/>
              <w:rPr>
                <w:sz w:val="28"/>
                <w:szCs w:val="28"/>
              </w:rPr>
            </w:pPr>
            <w:r>
              <w:rPr>
                <w:rFonts w:hint="eastAsia"/>
                <w:sz w:val="28"/>
                <w:szCs w:val="28"/>
              </w:rPr>
              <w:t>患者损伤</w:t>
            </w:r>
          </w:p>
        </w:tc>
      </w:tr>
      <w:tr w14:paraId="4D7C30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Merge w:val="continue"/>
            <w:vAlign w:val="center"/>
          </w:tcPr>
          <w:p w14:paraId="2E4322EE">
            <w:pPr>
              <w:spacing w:line="440" w:lineRule="exact"/>
              <w:ind w:firstLine="0" w:firstLineChars="0"/>
              <w:rPr>
                <w:sz w:val="28"/>
                <w:szCs w:val="28"/>
              </w:rPr>
            </w:pPr>
          </w:p>
        </w:tc>
        <w:tc>
          <w:tcPr>
            <w:tcW w:w="3590" w:type="dxa"/>
            <w:vAlign w:val="center"/>
          </w:tcPr>
          <w:p w14:paraId="609FE052">
            <w:pPr>
              <w:spacing w:line="440" w:lineRule="exact"/>
              <w:ind w:firstLine="0" w:firstLineChars="0"/>
              <w:rPr>
                <w:sz w:val="28"/>
                <w:szCs w:val="28"/>
              </w:rPr>
            </w:pPr>
            <w:r>
              <w:rPr>
                <w:rFonts w:hint="eastAsia"/>
                <w:sz w:val="28"/>
                <w:szCs w:val="28"/>
              </w:rPr>
              <w:t>日常使用、维护规定不明确、不适当</w:t>
            </w:r>
          </w:p>
        </w:tc>
        <w:tc>
          <w:tcPr>
            <w:tcW w:w="2096" w:type="dxa"/>
            <w:vAlign w:val="center"/>
          </w:tcPr>
          <w:p w14:paraId="706D9E26">
            <w:pPr>
              <w:spacing w:line="440" w:lineRule="exact"/>
              <w:ind w:firstLine="0" w:firstLineChars="0"/>
              <w:rPr>
                <w:sz w:val="28"/>
                <w:szCs w:val="28"/>
              </w:rPr>
            </w:pPr>
            <w:r>
              <w:rPr>
                <w:rFonts w:hint="eastAsia"/>
                <w:sz w:val="28"/>
                <w:szCs w:val="28"/>
              </w:rPr>
              <w:t>进行了错误操作</w:t>
            </w:r>
          </w:p>
        </w:tc>
        <w:tc>
          <w:tcPr>
            <w:tcW w:w="1601" w:type="dxa"/>
            <w:vAlign w:val="center"/>
          </w:tcPr>
          <w:p w14:paraId="38591B61">
            <w:pPr>
              <w:spacing w:line="440" w:lineRule="exact"/>
              <w:ind w:firstLine="0" w:firstLineChars="0"/>
              <w:rPr>
                <w:sz w:val="28"/>
                <w:szCs w:val="28"/>
              </w:rPr>
            </w:pPr>
            <w:r>
              <w:rPr>
                <w:rFonts w:hint="eastAsia"/>
                <w:sz w:val="28"/>
                <w:szCs w:val="28"/>
              </w:rPr>
              <w:t>患者损伤</w:t>
            </w:r>
          </w:p>
        </w:tc>
      </w:tr>
      <w:tr w14:paraId="43B7D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Merge w:val="continue"/>
            <w:vAlign w:val="center"/>
          </w:tcPr>
          <w:p w14:paraId="30607D86">
            <w:pPr>
              <w:spacing w:line="440" w:lineRule="exact"/>
              <w:ind w:firstLine="0" w:firstLineChars="0"/>
              <w:rPr>
                <w:sz w:val="28"/>
                <w:szCs w:val="28"/>
              </w:rPr>
            </w:pPr>
          </w:p>
        </w:tc>
        <w:tc>
          <w:tcPr>
            <w:tcW w:w="3590" w:type="dxa"/>
            <w:vAlign w:val="center"/>
          </w:tcPr>
          <w:p w14:paraId="00BC5CC5">
            <w:pPr>
              <w:spacing w:line="440" w:lineRule="exact"/>
              <w:ind w:firstLine="0" w:firstLineChars="0"/>
              <w:rPr>
                <w:sz w:val="28"/>
                <w:szCs w:val="28"/>
              </w:rPr>
            </w:pPr>
            <w:r>
              <w:rPr>
                <w:rFonts w:hint="eastAsia"/>
                <w:sz w:val="28"/>
                <w:szCs w:val="28"/>
              </w:rPr>
              <w:t>未进行低温和窒息提示</w:t>
            </w:r>
          </w:p>
        </w:tc>
        <w:tc>
          <w:tcPr>
            <w:tcW w:w="2096" w:type="dxa"/>
            <w:vAlign w:val="center"/>
          </w:tcPr>
          <w:p w14:paraId="553F91EF">
            <w:pPr>
              <w:spacing w:line="440" w:lineRule="exact"/>
              <w:ind w:firstLine="0" w:firstLineChars="0"/>
              <w:rPr>
                <w:sz w:val="28"/>
                <w:szCs w:val="28"/>
              </w:rPr>
            </w:pPr>
            <w:r>
              <w:rPr>
                <w:rFonts w:hint="eastAsia"/>
                <w:sz w:val="28"/>
                <w:szCs w:val="28"/>
              </w:rPr>
              <w:t>没有在醒目位置标注有关提示内容</w:t>
            </w:r>
          </w:p>
        </w:tc>
        <w:tc>
          <w:tcPr>
            <w:tcW w:w="1601" w:type="dxa"/>
            <w:vAlign w:val="center"/>
          </w:tcPr>
          <w:p w14:paraId="02CE69A7">
            <w:pPr>
              <w:spacing w:line="440" w:lineRule="exact"/>
              <w:ind w:firstLine="0" w:firstLineChars="0"/>
              <w:rPr>
                <w:sz w:val="28"/>
                <w:szCs w:val="28"/>
              </w:rPr>
            </w:pPr>
            <w:r>
              <w:rPr>
                <w:rFonts w:hint="eastAsia"/>
                <w:sz w:val="28"/>
                <w:szCs w:val="28"/>
              </w:rPr>
              <w:t>患者冻伤、患者窒息</w:t>
            </w:r>
          </w:p>
        </w:tc>
      </w:tr>
      <w:tr w14:paraId="399C07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Merge w:val="continue"/>
            <w:vAlign w:val="center"/>
          </w:tcPr>
          <w:p w14:paraId="7E20F552">
            <w:pPr>
              <w:spacing w:line="440" w:lineRule="exact"/>
              <w:ind w:firstLine="0" w:firstLineChars="0"/>
              <w:rPr>
                <w:sz w:val="28"/>
                <w:szCs w:val="28"/>
              </w:rPr>
            </w:pPr>
          </w:p>
        </w:tc>
        <w:tc>
          <w:tcPr>
            <w:tcW w:w="3590" w:type="dxa"/>
            <w:vAlign w:val="center"/>
          </w:tcPr>
          <w:p w14:paraId="517052DC">
            <w:pPr>
              <w:spacing w:line="440" w:lineRule="exact"/>
              <w:ind w:firstLine="0" w:firstLineChars="0"/>
              <w:rPr>
                <w:sz w:val="28"/>
                <w:szCs w:val="28"/>
              </w:rPr>
            </w:pPr>
            <w:r>
              <w:rPr>
                <w:rFonts w:hint="eastAsia"/>
                <w:sz w:val="28"/>
                <w:szCs w:val="28"/>
              </w:rPr>
              <w:t>操作界面、软件菜单不清晰、不明确</w:t>
            </w:r>
          </w:p>
        </w:tc>
        <w:tc>
          <w:tcPr>
            <w:tcW w:w="2096" w:type="dxa"/>
            <w:vAlign w:val="center"/>
          </w:tcPr>
          <w:p w14:paraId="5D27965D">
            <w:pPr>
              <w:spacing w:line="440" w:lineRule="exact"/>
              <w:ind w:firstLine="0" w:firstLineChars="0"/>
              <w:rPr>
                <w:sz w:val="28"/>
                <w:szCs w:val="28"/>
              </w:rPr>
            </w:pPr>
            <w:r>
              <w:rPr>
                <w:rFonts w:hint="eastAsia"/>
                <w:sz w:val="28"/>
                <w:szCs w:val="28"/>
              </w:rPr>
              <w:t>未能按要求进行操作</w:t>
            </w:r>
          </w:p>
        </w:tc>
        <w:tc>
          <w:tcPr>
            <w:tcW w:w="1601" w:type="dxa"/>
            <w:vAlign w:val="center"/>
          </w:tcPr>
          <w:p w14:paraId="52C062D3">
            <w:pPr>
              <w:spacing w:line="440" w:lineRule="exact"/>
              <w:ind w:firstLine="0" w:firstLineChars="0"/>
              <w:rPr>
                <w:sz w:val="28"/>
                <w:szCs w:val="28"/>
              </w:rPr>
            </w:pPr>
            <w:r>
              <w:rPr>
                <w:rFonts w:hint="eastAsia"/>
                <w:sz w:val="28"/>
                <w:szCs w:val="28"/>
              </w:rPr>
              <w:t>影响患者治疗</w:t>
            </w:r>
          </w:p>
        </w:tc>
      </w:tr>
      <w:tr w14:paraId="37587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Align w:val="center"/>
          </w:tcPr>
          <w:p w14:paraId="31E60FD0">
            <w:pPr>
              <w:spacing w:line="440" w:lineRule="exact"/>
              <w:ind w:firstLine="0" w:firstLineChars="0"/>
              <w:rPr>
                <w:sz w:val="28"/>
                <w:szCs w:val="28"/>
              </w:rPr>
            </w:pPr>
            <w:r>
              <w:rPr>
                <w:rFonts w:hint="eastAsia"/>
                <w:sz w:val="28"/>
                <w:szCs w:val="28"/>
              </w:rPr>
              <w:t>环境危险</w:t>
            </w:r>
          </w:p>
        </w:tc>
        <w:tc>
          <w:tcPr>
            <w:tcW w:w="3590" w:type="dxa"/>
            <w:vAlign w:val="center"/>
          </w:tcPr>
          <w:p w14:paraId="61F95B54">
            <w:pPr>
              <w:spacing w:line="440" w:lineRule="exact"/>
              <w:ind w:firstLine="0" w:firstLineChars="0"/>
              <w:rPr>
                <w:sz w:val="28"/>
                <w:szCs w:val="28"/>
              </w:rPr>
            </w:pPr>
            <w:r>
              <w:rPr>
                <w:rFonts w:hint="eastAsia"/>
                <w:sz w:val="28"/>
                <w:szCs w:val="28"/>
              </w:rPr>
              <w:t>二氧化碳气瓶使用、运输、存储环境温度过高</w:t>
            </w:r>
          </w:p>
        </w:tc>
        <w:tc>
          <w:tcPr>
            <w:tcW w:w="2096" w:type="dxa"/>
            <w:vAlign w:val="center"/>
          </w:tcPr>
          <w:p w14:paraId="36318B45">
            <w:pPr>
              <w:spacing w:line="440" w:lineRule="exact"/>
              <w:ind w:firstLine="0" w:firstLineChars="0"/>
              <w:rPr>
                <w:sz w:val="28"/>
                <w:szCs w:val="28"/>
              </w:rPr>
            </w:pPr>
            <w:r>
              <w:rPr>
                <w:rFonts w:hint="eastAsia"/>
                <w:sz w:val="28"/>
                <w:szCs w:val="28"/>
              </w:rPr>
              <w:t>温度对设备造成伤害</w:t>
            </w:r>
          </w:p>
        </w:tc>
        <w:tc>
          <w:tcPr>
            <w:tcW w:w="1601" w:type="dxa"/>
            <w:vAlign w:val="center"/>
          </w:tcPr>
          <w:p w14:paraId="25B8A32B">
            <w:pPr>
              <w:spacing w:line="440" w:lineRule="exact"/>
              <w:ind w:firstLine="0" w:firstLineChars="0"/>
              <w:rPr>
                <w:sz w:val="28"/>
                <w:szCs w:val="28"/>
              </w:rPr>
            </w:pPr>
            <w:r>
              <w:rPr>
                <w:rFonts w:hint="eastAsia"/>
                <w:sz w:val="28"/>
                <w:szCs w:val="28"/>
              </w:rPr>
              <w:t>爆炸对周边事物有伤害</w:t>
            </w:r>
          </w:p>
        </w:tc>
      </w:tr>
      <w:tr w14:paraId="71891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Align w:val="center"/>
          </w:tcPr>
          <w:p w14:paraId="590AA09E">
            <w:pPr>
              <w:spacing w:line="440" w:lineRule="exact"/>
              <w:ind w:firstLine="0" w:firstLineChars="0"/>
              <w:rPr>
                <w:sz w:val="28"/>
                <w:szCs w:val="28"/>
              </w:rPr>
            </w:pPr>
            <w:r>
              <w:rPr>
                <w:rFonts w:hint="eastAsia"/>
                <w:sz w:val="28"/>
                <w:szCs w:val="28"/>
              </w:rPr>
              <w:t>功能性危险</w:t>
            </w:r>
          </w:p>
        </w:tc>
        <w:tc>
          <w:tcPr>
            <w:tcW w:w="3590" w:type="dxa"/>
            <w:vAlign w:val="center"/>
          </w:tcPr>
          <w:p w14:paraId="07C0A8AA">
            <w:pPr>
              <w:spacing w:line="440" w:lineRule="exact"/>
              <w:ind w:firstLine="0" w:firstLineChars="0"/>
              <w:rPr>
                <w:sz w:val="28"/>
                <w:szCs w:val="28"/>
              </w:rPr>
            </w:pPr>
            <w:r>
              <w:rPr>
                <w:rFonts w:hint="eastAsia"/>
                <w:sz w:val="28"/>
                <w:szCs w:val="28"/>
              </w:rPr>
              <w:t>液态二氧化碳气瓶密封性不符合要求</w:t>
            </w:r>
          </w:p>
        </w:tc>
        <w:tc>
          <w:tcPr>
            <w:tcW w:w="2096" w:type="dxa"/>
            <w:vAlign w:val="center"/>
          </w:tcPr>
          <w:p w14:paraId="05133E61">
            <w:pPr>
              <w:spacing w:line="440" w:lineRule="exact"/>
              <w:ind w:firstLine="0" w:firstLineChars="0"/>
              <w:rPr>
                <w:rFonts w:hint="eastAsia" w:eastAsia="仿宋_GB2312"/>
                <w:sz w:val="28"/>
                <w:szCs w:val="28"/>
                <w:lang w:eastAsia="zh-CN"/>
              </w:rPr>
            </w:pPr>
            <w:r>
              <w:rPr>
                <w:rFonts w:hint="eastAsia"/>
                <w:sz w:val="28"/>
                <w:szCs w:val="28"/>
              </w:rPr>
              <w:t>高压气体</w:t>
            </w:r>
            <w:r>
              <w:rPr>
                <w:rFonts w:hint="eastAsia"/>
                <w:sz w:val="28"/>
                <w:szCs w:val="28"/>
                <w:lang w:eastAsia="zh-CN"/>
              </w:rPr>
              <w:t>泄漏</w:t>
            </w:r>
          </w:p>
        </w:tc>
        <w:tc>
          <w:tcPr>
            <w:tcW w:w="1601" w:type="dxa"/>
            <w:vAlign w:val="center"/>
          </w:tcPr>
          <w:p w14:paraId="4E4CC0B1">
            <w:pPr>
              <w:spacing w:line="440" w:lineRule="exact"/>
              <w:ind w:firstLine="0" w:firstLineChars="0"/>
              <w:rPr>
                <w:sz w:val="28"/>
                <w:szCs w:val="28"/>
              </w:rPr>
            </w:pPr>
            <w:r>
              <w:rPr>
                <w:rFonts w:hint="eastAsia"/>
                <w:sz w:val="28"/>
                <w:szCs w:val="28"/>
              </w:rPr>
              <w:t>周围生命体或物体产生严重的损伤</w:t>
            </w:r>
          </w:p>
        </w:tc>
      </w:tr>
      <w:tr w14:paraId="38021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Align w:val="center"/>
          </w:tcPr>
          <w:p w14:paraId="33F65E83">
            <w:pPr>
              <w:spacing w:line="440" w:lineRule="exact"/>
              <w:ind w:firstLine="0" w:firstLineChars="0"/>
              <w:rPr>
                <w:sz w:val="28"/>
                <w:szCs w:val="28"/>
              </w:rPr>
            </w:pPr>
            <w:r>
              <w:rPr>
                <w:rFonts w:hint="eastAsia"/>
                <w:sz w:val="28"/>
                <w:szCs w:val="28"/>
              </w:rPr>
              <w:t>生物学危险</w:t>
            </w:r>
          </w:p>
        </w:tc>
        <w:tc>
          <w:tcPr>
            <w:tcW w:w="3590" w:type="dxa"/>
            <w:vAlign w:val="center"/>
          </w:tcPr>
          <w:p w14:paraId="0D948BDA">
            <w:pPr>
              <w:spacing w:line="440" w:lineRule="exact"/>
              <w:ind w:firstLine="0" w:firstLineChars="0"/>
              <w:rPr>
                <w:sz w:val="28"/>
                <w:szCs w:val="28"/>
              </w:rPr>
            </w:pPr>
            <w:r>
              <w:rPr>
                <w:rFonts w:hint="eastAsia"/>
                <w:sz w:val="28"/>
                <w:szCs w:val="28"/>
              </w:rPr>
              <w:t>不同操作人员接触使用治疗枪手柄</w:t>
            </w:r>
          </w:p>
        </w:tc>
        <w:tc>
          <w:tcPr>
            <w:tcW w:w="2096" w:type="dxa"/>
            <w:vAlign w:val="center"/>
          </w:tcPr>
          <w:p w14:paraId="16C5EFE2">
            <w:pPr>
              <w:spacing w:line="440" w:lineRule="exact"/>
              <w:ind w:firstLine="0" w:firstLineChars="0"/>
              <w:rPr>
                <w:sz w:val="28"/>
                <w:szCs w:val="28"/>
              </w:rPr>
            </w:pPr>
            <w:r>
              <w:rPr>
                <w:rFonts w:hint="eastAsia"/>
                <w:sz w:val="28"/>
                <w:szCs w:val="28"/>
              </w:rPr>
              <w:t>微生物传染</w:t>
            </w:r>
          </w:p>
        </w:tc>
        <w:tc>
          <w:tcPr>
            <w:tcW w:w="1601" w:type="dxa"/>
            <w:vAlign w:val="center"/>
          </w:tcPr>
          <w:p w14:paraId="429061BB">
            <w:pPr>
              <w:spacing w:line="440" w:lineRule="exact"/>
              <w:ind w:firstLine="0" w:firstLineChars="0"/>
              <w:rPr>
                <w:sz w:val="28"/>
                <w:szCs w:val="28"/>
              </w:rPr>
            </w:pPr>
            <w:r>
              <w:rPr>
                <w:rFonts w:hint="eastAsia"/>
                <w:sz w:val="28"/>
                <w:szCs w:val="28"/>
              </w:rPr>
              <w:t>出现交叉感染</w:t>
            </w:r>
          </w:p>
        </w:tc>
      </w:tr>
    </w:tbl>
    <w:p w14:paraId="436D113B">
      <w:pPr>
        <w:spacing w:line="520" w:lineRule="exact"/>
        <w:ind w:firstLine="0" w:firstLineChars="0"/>
        <w:rPr>
          <w:rFonts w:eastAsia="方正小标宋_GBK"/>
          <w:b/>
          <w:bCs/>
          <w:kern w:val="44"/>
          <w:sz w:val="21"/>
          <w:szCs w:val="21"/>
        </w:rPr>
      </w:pPr>
    </w:p>
    <w:sectPr>
      <w:headerReference r:id="rId5" w:type="default"/>
      <w:footerReference r:id="rId7" w:type="default"/>
      <w:headerReference r:id="rId6" w:type="even"/>
      <w:footerReference r:id="rId8" w:type="even"/>
      <w:pgSz w:w="11906" w:h="16838"/>
      <w:pgMar w:top="1588" w:right="1701" w:bottom="1588" w:left="1701" w:header="851" w:footer="0" w:gutter="0"/>
      <w:cols w:space="720" w:num="1"/>
      <w:docGrid w:type="linesAndChar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altName w:val="Segoe Print"/>
    <w:panose1 w:val="020F0302020204030204"/>
    <w:charset w:val="00"/>
    <w:family w:val="swiss"/>
    <w:pitch w:val="default"/>
    <w:sig w:usb0="00000000" w:usb1="00000000" w:usb2="00000009" w:usb3="00000000" w:csb0="000001FF"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altName w:val="DejaVu Math TeX Gyre"/>
    <w:panose1 w:val="02040503050406030204"/>
    <w:charset w:val="00"/>
    <w:family w:val="roman"/>
    <w:pitch w:val="default"/>
    <w:sig w:usb0="00000000" w:usb1="00000000" w:usb2="02000000" w:usb3="00000000" w:csb0="0000019F" w:csb1="00000000"/>
  </w:font>
  <w:font w:name="DejaVu Math TeX Gyre">
    <w:panose1 w:val="02000503000000000000"/>
    <w:charset w:val="00"/>
    <w:family w:val="auto"/>
    <w:pitch w:val="default"/>
    <w:sig w:usb0="A10000EF" w:usb1="4201F9EE" w:usb2="02000000" w:usb3="00000000" w:csb0="60000193" w:csb1="0DD40000"/>
  </w:font>
  <w:font w:name="方正小标宋_GBK">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572D7">
    <w:pPr>
      <w:pStyle w:val="8"/>
      <w:ind w:firstLine="560"/>
      <w:jc w:val="right"/>
      <w:rPr>
        <w:rFonts w:eastAsia="等线 Light"/>
        <w:sz w:val="28"/>
        <w:szCs w:val="28"/>
      </w:rPr>
    </w:pPr>
    <w:r>
      <w:rPr>
        <w:rFonts w:eastAsia="等线"/>
        <w:sz w:val="28"/>
        <w:szCs w:val="28"/>
      </w:rPr>
      <w:t xml:space="preserve">— </w:t>
    </w:r>
    <w:r>
      <w:rPr>
        <w:rFonts w:eastAsia="等线"/>
        <w:sz w:val="28"/>
        <w:szCs w:val="28"/>
      </w:rPr>
      <w:fldChar w:fldCharType="begin"/>
    </w:r>
    <w:r>
      <w:rPr>
        <w:sz w:val="28"/>
        <w:szCs w:val="28"/>
      </w:rPr>
      <w:instrText xml:space="preserve">PAGE    \* MERGEFORMAT</w:instrText>
    </w:r>
    <w:r>
      <w:rPr>
        <w:rFonts w:eastAsia="等线"/>
        <w:sz w:val="28"/>
        <w:szCs w:val="28"/>
      </w:rPr>
      <w:fldChar w:fldCharType="separate"/>
    </w:r>
    <w:r>
      <w:rPr>
        <w:rFonts w:eastAsia="等线 Light"/>
        <w:sz w:val="28"/>
        <w:szCs w:val="28"/>
        <w:lang w:val="zh-CN"/>
      </w:rPr>
      <w:t>23</w:t>
    </w:r>
    <w:r>
      <w:rPr>
        <w:rFonts w:eastAsia="等线 Light"/>
        <w:sz w:val="28"/>
        <w:szCs w:val="28"/>
      </w:rPr>
      <w:fldChar w:fldCharType="end"/>
    </w:r>
    <w:r>
      <w:rPr>
        <w:rFonts w:eastAsia="等线 Light"/>
        <w:sz w:val="28"/>
        <w:szCs w:val="28"/>
        <w:lang w:val="zh-CN"/>
      </w:rPr>
      <w:t xml:space="preserve"> —</w:t>
    </w:r>
  </w:p>
  <w:p w14:paraId="3A9363F8">
    <w:pPr>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90A2C">
    <w:pPr>
      <w:pStyle w:val="8"/>
      <w:ind w:firstLine="0" w:firstLineChars="0"/>
      <w:rPr>
        <w:rFonts w:eastAsia="等线 Light"/>
        <w:sz w:val="28"/>
        <w:szCs w:val="28"/>
      </w:rPr>
    </w:pPr>
    <w:r>
      <w:rPr>
        <w:rFonts w:eastAsia="等线"/>
        <w:sz w:val="28"/>
        <w:szCs w:val="28"/>
      </w:rPr>
      <w:t xml:space="preserve">— </w:t>
    </w:r>
    <w:r>
      <w:rPr>
        <w:rFonts w:eastAsia="等线"/>
        <w:sz w:val="28"/>
        <w:szCs w:val="28"/>
      </w:rPr>
      <w:fldChar w:fldCharType="begin"/>
    </w:r>
    <w:r>
      <w:rPr>
        <w:sz w:val="28"/>
        <w:szCs w:val="28"/>
      </w:rPr>
      <w:instrText xml:space="preserve">PAGE    \* MERGEFORMAT</w:instrText>
    </w:r>
    <w:r>
      <w:rPr>
        <w:rFonts w:eastAsia="等线"/>
        <w:sz w:val="28"/>
        <w:szCs w:val="28"/>
      </w:rPr>
      <w:fldChar w:fldCharType="separate"/>
    </w:r>
    <w:r>
      <w:rPr>
        <w:rFonts w:eastAsia="等线 Light"/>
        <w:sz w:val="28"/>
        <w:szCs w:val="28"/>
        <w:lang w:val="zh-CN"/>
      </w:rPr>
      <w:t>22</w:t>
    </w:r>
    <w:r>
      <w:rPr>
        <w:rFonts w:eastAsia="等线 Light"/>
        <w:sz w:val="28"/>
        <w:szCs w:val="28"/>
      </w:rPr>
      <w:fldChar w:fldCharType="end"/>
    </w:r>
    <w:r>
      <w:rPr>
        <w:rFonts w:eastAsia="等线 Light"/>
        <w:sz w:val="28"/>
        <w:szCs w:val="28"/>
        <w:lang w:val="zh-CN"/>
      </w:rPr>
      <w:t xml:space="preserve"> —</w:t>
    </w:r>
  </w:p>
  <w:p w14:paraId="0588388B">
    <w:pPr>
      <w:ind w:firstLine="6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CB3D2">
    <w:pPr>
      <w:pStyle w:val="9"/>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A0AB3">
    <w:pPr>
      <w:pStyle w:val="9"/>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evenAndOddHeaders w:val="1"/>
  <w:drawingGridHorizontalSpacing w:val="160"/>
  <w:drawingGridVerticalSpacing w:val="435"/>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kMTU5YWM0NGQ1NmFmMzRiMGQzMWY1NjBjYTIwZTQifQ=="/>
    <w:docVar w:name="KSO_WPS_MARK_KEY" w:val="d11006d5-9316-497e-96ed-d017ced8736a"/>
  </w:docVars>
  <w:rsids>
    <w:rsidRoot w:val="00E72051"/>
    <w:rsid w:val="00001473"/>
    <w:rsid w:val="00002589"/>
    <w:rsid w:val="00002B57"/>
    <w:rsid w:val="000030EA"/>
    <w:rsid w:val="00003A23"/>
    <w:rsid w:val="00003BAE"/>
    <w:rsid w:val="0000451C"/>
    <w:rsid w:val="00004D55"/>
    <w:rsid w:val="0000511A"/>
    <w:rsid w:val="00005304"/>
    <w:rsid w:val="00006391"/>
    <w:rsid w:val="00006EBB"/>
    <w:rsid w:val="000071F2"/>
    <w:rsid w:val="000118CC"/>
    <w:rsid w:val="00011AA3"/>
    <w:rsid w:val="00012101"/>
    <w:rsid w:val="000127BB"/>
    <w:rsid w:val="000129EF"/>
    <w:rsid w:val="00013D0F"/>
    <w:rsid w:val="00013EC0"/>
    <w:rsid w:val="00014343"/>
    <w:rsid w:val="00014A1B"/>
    <w:rsid w:val="00014DB6"/>
    <w:rsid w:val="00015060"/>
    <w:rsid w:val="00015912"/>
    <w:rsid w:val="00015B09"/>
    <w:rsid w:val="00015E0B"/>
    <w:rsid w:val="000165C3"/>
    <w:rsid w:val="00017576"/>
    <w:rsid w:val="00020E92"/>
    <w:rsid w:val="00021221"/>
    <w:rsid w:val="00021742"/>
    <w:rsid w:val="00021B8C"/>
    <w:rsid w:val="00021D1D"/>
    <w:rsid w:val="0002206E"/>
    <w:rsid w:val="000220C0"/>
    <w:rsid w:val="000220C3"/>
    <w:rsid w:val="00022DA8"/>
    <w:rsid w:val="00023469"/>
    <w:rsid w:val="00023CA0"/>
    <w:rsid w:val="00024239"/>
    <w:rsid w:val="00024BFC"/>
    <w:rsid w:val="00024F32"/>
    <w:rsid w:val="00025B53"/>
    <w:rsid w:val="000265B0"/>
    <w:rsid w:val="000265BC"/>
    <w:rsid w:val="0002723D"/>
    <w:rsid w:val="00027351"/>
    <w:rsid w:val="00027798"/>
    <w:rsid w:val="000314C2"/>
    <w:rsid w:val="00031694"/>
    <w:rsid w:val="0003198F"/>
    <w:rsid w:val="000321C2"/>
    <w:rsid w:val="00032464"/>
    <w:rsid w:val="000332C6"/>
    <w:rsid w:val="000336CB"/>
    <w:rsid w:val="00033D8D"/>
    <w:rsid w:val="00033F32"/>
    <w:rsid w:val="00034CA9"/>
    <w:rsid w:val="00036806"/>
    <w:rsid w:val="000405F3"/>
    <w:rsid w:val="00040B20"/>
    <w:rsid w:val="00040B38"/>
    <w:rsid w:val="00040C0F"/>
    <w:rsid w:val="00041E46"/>
    <w:rsid w:val="00041EB6"/>
    <w:rsid w:val="00042217"/>
    <w:rsid w:val="000425E8"/>
    <w:rsid w:val="000433E9"/>
    <w:rsid w:val="00043782"/>
    <w:rsid w:val="00046645"/>
    <w:rsid w:val="00046701"/>
    <w:rsid w:val="00046B67"/>
    <w:rsid w:val="00050549"/>
    <w:rsid w:val="0005231C"/>
    <w:rsid w:val="00053A80"/>
    <w:rsid w:val="00053DE6"/>
    <w:rsid w:val="00054399"/>
    <w:rsid w:val="000544D0"/>
    <w:rsid w:val="000545F9"/>
    <w:rsid w:val="0005492A"/>
    <w:rsid w:val="00055B9C"/>
    <w:rsid w:val="00057CFC"/>
    <w:rsid w:val="000606E9"/>
    <w:rsid w:val="000623BD"/>
    <w:rsid w:val="000628E7"/>
    <w:rsid w:val="000629B5"/>
    <w:rsid w:val="0006337B"/>
    <w:rsid w:val="000638D9"/>
    <w:rsid w:val="00063DE4"/>
    <w:rsid w:val="000643F9"/>
    <w:rsid w:val="000650AE"/>
    <w:rsid w:val="00065FB2"/>
    <w:rsid w:val="00072B7B"/>
    <w:rsid w:val="00072FE4"/>
    <w:rsid w:val="00073234"/>
    <w:rsid w:val="00073ED5"/>
    <w:rsid w:val="00074563"/>
    <w:rsid w:val="00076015"/>
    <w:rsid w:val="00076328"/>
    <w:rsid w:val="0007639E"/>
    <w:rsid w:val="00076D46"/>
    <w:rsid w:val="00080647"/>
    <w:rsid w:val="000819EC"/>
    <w:rsid w:val="000822CD"/>
    <w:rsid w:val="00082B16"/>
    <w:rsid w:val="000830A3"/>
    <w:rsid w:val="000840DD"/>
    <w:rsid w:val="0008454B"/>
    <w:rsid w:val="000845A0"/>
    <w:rsid w:val="00084794"/>
    <w:rsid w:val="00085835"/>
    <w:rsid w:val="00085A84"/>
    <w:rsid w:val="00085F5A"/>
    <w:rsid w:val="0008733B"/>
    <w:rsid w:val="000901C4"/>
    <w:rsid w:val="00091AD0"/>
    <w:rsid w:val="000943AF"/>
    <w:rsid w:val="00094B53"/>
    <w:rsid w:val="000954FF"/>
    <w:rsid w:val="0009663C"/>
    <w:rsid w:val="000968EE"/>
    <w:rsid w:val="00096D32"/>
    <w:rsid w:val="00097195"/>
    <w:rsid w:val="000A0D22"/>
    <w:rsid w:val="000A1017"/>
    <w:rsid w:val="000A303B"/>
    <w:rsid w:val="000A499D"/>
    <w:rsid w:val="000A4EF9"/>
    <w:rsid w:val="000A5A90"/>
    <w:rsid w:val="000A6C77"/>
    <w:rsid w:val="000A72D6"/>
    <w:rsid w:val="000A73DE"/>
    <w:rsid w:val="000A73EE"/>
    <w:rsid w:val="000A7D0D"/>
    <w:rsid w:val="000B0752"/>
    <w:rsid w:val="000B0FD4"/>
    <w:rsid w:val="000B1515"/>
    <w:rsid w:val="000B192C"/>
    <w:rsid w:val="000B1B7E"/>
    <w:rsid w:val="000B2204"/>
    <w:rsid w:val="000B28EF"/>
    <w:rsid w:val="000B3D81"/>
    <w:rsid w:val="000B41B1"/>
    <w:rsid w:val="000B4B3D"/>
    <w:rsid w:val="000B5D12"/>
    <w:rsid w:val="000B6863"/>
    <w:rsid w:val="000B7194"/>
    <w:rsid w:val="000B7A85"/>
    <w:rsid w:val="000C003E"/>
    <w:rsid w:val="000C19A9"/>
    <w:rsid w:val="000C3DE1"/>
    <w:rsid w:val="000C43A4"/>
    <w:rsid w:val="000C45D5"/>
    <w:rsid w:val="000C4604"/>
    <w:rsid w:val="000C4A53"/>
    <w:rsid w:val="000C5789"/>
    <w:rsid w:val="000C6B9A"/>
    <w:rsid w:val="000C7196"/>
    <w:rsid w:val="000C7862"/>
    <w:rsid w:val="000D0273"/>
    <w:rsid w:val="000D032D"/>
    <w:rsid w:val="000D0501"/>
    <w:rsid w:val="000D16EB"/>
    <w:rsid w:val="000D3621"/>
    <w:rsid w:val="000D37A7"/>
    <w:rsid w:val="000D4103"/>
    <w:rsid w:val="000D5BC0"/>
    <w:rsid w:val="000D5D01"/>
    <w:rsid w:val="000D675C"/>
    <w:rsid w:val="000D6D12"/>
    <w:rsid w:val="000D7886"/>
    <w:rsid w:val="000E0D68"/>
    <w:rsid w:val="000E263D"/>
    <w:rsid w:val="000E3355"/>
    <w:rsid w:val="000E3498"/>
    <w:rsid w:val="000E3C3E"/>
    <w:rsid w:val="000E4BBF"/>
    <w:rsid w:val="000E5117"/>
    <w:rsid w:val="000E56A2"/>
    <w:rsid w:val="000E586F"/>
    <w:rsid w:val="000E5BD2"/>
    <w:rsid w:val="000E6526"/>
    <w:rsid w:val="000E67D3"/>
    <w:rsid w:val="000E775B"/>
    <w:rsid w:val="000F0245"/>
    <w:rsid w:val="000F06E8"/>
    <w:rsid w:val="000F0D66"/>
    <w:rsid w:val="000F1675"/>
    <w:rsid w:val="000F16CE"/>
    <w:rsid w:val="000F1773"/>
    <w:rsid w:val="000F2029"/>
    <w:rsid w:val="000F22B0"/>
    <w:rsid w:val="000F296E"/>
    <w:rsid w:val="000F4092"/>
    <w:rsid w:val="000F5176"/>
    <w:rsid w:val="000F579D"/>
    <w:rsid w:val="000F5D2B"/>
    <w:rsid w:val="000F645F"/>
    <w:rsid w:val="000F6E14"/>
    <w:rsid w:val="000F6E75"/>
    <w:rsid w:val="000F7DB7"/>
    <w:rsid w:val="0010000A"/>
    <w:rsid w:val="001001A6"/>
    <w:rsid w:val="00101212"/>
    <w:rsid w:val="001020CA"/>
    <w:rsid w:val="00102410"/>
    <w:rsid w:val="0010295C"/>
    <w:rsid w:val="00103FE7"/>
    <w:rsid w:val="00104B90"/>
    <w:rsid w:val="0010534C"/>
    <w:rsid w:val="001075BF"/>
    <w:rsid w:val="00107CD3"/>
    <w:rsid w:val="00107D03"/>
    <w:rsid w:val="001100E8"/>
    <w:rsid w:val="00110FC7"/>
    <w:rsid w:val="0011175D"/>
    <w:rsid w:val="0011270A"/>
    <w:rsid w:val="00112749"/>
    <w:rsid w:val="00112E20"/>
    <w:rsid w:val="00113186"/>
    <w:rsid w:val="0011359D"/>
    <w:rsid w:val="001136DA"/>
    <w:rsid w:val="00113F04"/>
    <w:rsid w:val="001150A2"/>
    <w:rsid w:val="001166BD"/>
    <w:rsid w:val="00117AE0"/>
    <w:rsid w:val="001202E9"/>
    <w:rsid w:val="001204AE"/>
    <w:rsid w:val="00120657"/>
    <w:rsid w:val="00120DDA"/>
    <w:rsid w:val="001225F8"/>
    <w:rsid w:val="001226FF"/>
    <w:rsid w:val="00122BA3"/>
    <w:rsid w:val="00122D9F"/>
    <w:rsid w:val="00124883"/>
    <w:rsid w:val="001248EB"/>
    <w:rsid w:val="0012492A"/>
    <w:rsid w:val="00124CDC"/>
    <w:rsid w:val="00126AB0"/>
    <w:rsid w:val="00126DB5"/>
    <w:rsid w:val="00127623"/>
    <w:rsid w:val="00130864"/>
    <w:rsid w:val="00131FF0"/>
    <w:rsid w:val="001329F6"/>
    <w:rsid w:val="00134B42"/>
    <w:rsid w:val="00135373"/>
    <w:rsid w:val="001375E6"/>
    <w:rsid w:val="0014067D"/>
    <w:rsid w:val="00140DC9"/>
    <w:rsid w:val="001427DB"/>
    <w:rsid w:val="0014293E"/>
    <w:rsid w:val="00142F1F"/>
    <w:rsid w:val="00143F8C"/>
    <w:rsid w:val="00144E19"/>
    <w:rsid w:val="0014532F"/>
    <w:rsid w:val="001462CF"/>
    <w:rsid w:val="00146901"/>
    <w:rsid w:val="00146DA2"/>
    <w:rsid w:val="001500DC"/>
    <w:rsid w:val="0015156D"/>
    <w:rsid w:val="0015160F"/>
    <w:rsid w:val="001519E1"/>
    <w:rsid w:val="00151FDE"/>
    <w:rsid w:val="001539C3"/>
    <w:rsid w:val="00153FA4"/>
    <w:rsid w:val="00154004"/>
    <w:rsid w:val="00154E23"/>
    <w:rsid w:val="00155B47"/>
    <w:rsid w:val="00156E7D"/>
    <w:rsid w:val="001570CA"/>
    <w:rsid w:val="001571A2"/>
    <w:rsid w:val="00160075"/>
    <w:rsid w:val="00160435"/>
    <w:rsid w:val="00162575"/>
    <w:rsid w:val="00162FD7"/>
    <w:rsid w:val="00164E81"/>
    <w:rsid w:val="00164FCD"/>
    <w:rsid w:val="0016592C"/>
    <w:rsid w:val="00165A87"/>
    <w:rsid w:val="001660A3"/>
    <w:rsid w:val="001664D9"/>
    <w:rsid w:val="0016671E"/>
    <w:rsid w:val="001678DE"/>
    <w:rsid w:val="00167E15"/>
    <w:rsid w:val="00167E56"/>
    <w:rsid w:val="0017078B"/>
    <w:rsid w:val="00171374"/>
    <w:rsid w:val="001714D9"/>
    <w:rsid w:val="00171645"/>
    <w:rsid w:val="0017180E"/>
    <w:rsid w:val="001722FB"/>
    <w:rsid w:val="0017290D"/>
    <w:rsid w:val="00173576"/>
    <w:rsid w:val="00173C65"/>
    <w:rsid w:val="0017470C"/>
    <w:rsid w:val="001757D3"/>
    <w:rsid w:val="00175988"/>
    <w:rsid w:val="00175FB9"/>
    <w:rsid w:val="001775CB"/>
    <w:rsid w:val="0017779D"/>
    <w:rsid w:val="0017782A"/>
    <w:rsid w:val="00181646"/>
    <w:rsid w:val="001829BA"/>
    <w:rsid w:val="00182FCA"/>
    <w:rsid w:val="00183EAA"/>
    <w:rsid w:val="00184587"/>
    <w:rsid w:val="00184975"/>
    <w:rsid w:val="0018503C"/>
    <w:rsid w:val="00185915"/>
    <w:rsid w:val="001869C7"/>
    <w:rsid w:val="00187127"/>
    <w:rsid w:val="001879F1"/>
    <w:rsid w:val="00187BBA"/>
    <w:rsid w:val="0019036D"/>
    <w:rsid w:val="00190480"/>
    <w:rsid w:val="001910F8"/>
    <w:rsid w:val="00192BBE"/>
    <w:rsid w:val="00192FCE"/>
    <w:rsid w:val="001934EB"/>
    <w:rsid w:val="00195687"/>
    <w:rsid w:val="0019622D"/>
    <w:rsid w:val="00196626"/>
    <w:rsid w:val="0019739E"/>
    <w:rsid w:val="00197BB6"/>
    <w:rsid w:val="00197F70"/>
    <w:rsid w:val="001A032B"/>
    <w:rsid w:val="001A086E"/>
    <w:rsid w:val="001A08A0"/>
    <w:rsid w:val="001A16B8"/>
    <w:rsid w:val="001A1F5E"/>
    <w:rsid w:val="001A23DF"/>
    <w:rsid w:val="001A303E"/>
    <w:rsid w:val="001A4B80"/>
    <w:rsid w:val="001A769A"/>
    <w:rsid w:val="001B02AE"/>
    <w:rsid w:val="001B0440"/>
    <w:rsid w:val="001B0EB0"/>
    <w:rsid w:val="001B13CD"/>
    <w:rsid w:val="001B1459"/>
    <w:rsid w:val="001B1657"/>
    <w:rsid w:val="001B1D12"/>
    <w:rsid w:val="001B1DDF"/>
    <w:rsid w:val="001B24E7"/>
    <w:rsid w:val="001B3ADE"/>
    <w:rsid w:val="001B45B1"/>
    <w:rsid w:val="001B4B18"/>
    <w:rsid w:val="001B5420"/>
    <w:rsid w:val="001B5E23"/>
    <w:rsid w:val="001B5E6C"/>
    <w:rsid w:val="001C27D2"/>
    <w:rsid w:val="001C3089"/>
    <w:rsid w:val="001C37CC"/>
    <w:rsid w:val="001C3A2A"/>
    <w:rsid w:val="001C414C"/>
    <w:rsid w:val="001C4BBA"/>
    <w:rsid w:val="001C6050"/>
    <w:rsid w:val="001C6626"/>
    <w:rsid w:val="001C74DC"/>
    <w:rsid w:val="001D00E8"/>
    <w:rsid w:val="001D12B0"/>
    <w:rsid w:val="001D2018"/>
    <w:rsid w:val="001D2444"/>
    <w:rsid w:val="001D283A"/>
    <w:rsid w:val="001D2860"/>
    <w:rsid w:val="001D2A3B"/>
    <w:rsid w:val="001D2D14"/>
    <w:rsid w:val="001D3322"/>
    <w:rsid w:val="001D4602"/>
    <w:rsid w:val="001D50F1"/>
    <w:rsid w:val="001D535A"/>
    <w:rsid w:val="001D586F"/>
    <w:rsid w:val="001D6329"/>
    <w:rsid w:val="001D7138"/>
    <w:rsid w:val="001D725C"/>
    <w:rsid w:val="001E0167"/>
    <w:rsid w:val="001E0866"/>
    <w:rsid w:val="001E1BE1"/>
    <w:rsid w:val="001E1C08"/>
    <w:rsid w:val="001E277B"/>
    <w:rsid w:val="001E2FA9"/>
    <w:rsid w:val="001E31FD"/>
    <w:rsid w:val="001E32BF"/>
    <w:rsid w:val="001E33B2"/>
    <w:rsid w:val="001E4A4F"/>
    <w:rsid w:val="001E5371"/>
    <w:rsid w:val="001E5610"/>
    <w:rsid w:val="001E5845"/>
    <w:rsid w:val="001E7E4E"/>
    <w:rsid w:val="001F0474"/>
    <w:rsid w:val="001F0E37"/>
    <w:rsid w:val="001F114D"/>
    <w:rsid w:val="001F115F"/>
    <w:rsid w:val="001F2701"/>
    <w:rsid w:val="001F2B52"/>
    <w:rsid w:val="001F2B78"/>
    <w:rsid w:val="001F38A9"/>
    <w:rsid w:val="001F488B"/>
    <w:rsid w:val="001F4B8F"/>
    <w:rsid w:val="001F5267"/>
    <w:rsid w:val="001F7A86"/>
    <w:rsid w:val="001F7E54"/>
    <w:rsid w:val="002001A3"/>
    <w:rsid w:val="0020158F"/>
    <w:rsid w:val="00201D40"/>
    <w:rsid w:val="002022FB"/>
    <w:rsid w:val="00202441"/>
    <w:rsid w:val="0020266E"/>
    <w:rsid w:val="00202964"/>
    <w:rsid w:val="00202CDF"/>
    <w:rsid w:val="002041D4"/>
    <w:rsid w:val="00204F12"/>
    <w:rsid w:val="002053BE"/>
    <w:rsid w:val="00205FFF"/>
    <w:rsid w:val="002068D5"/>
    <w:rsid w:val="00206F4F"/>
    <w:rsid w:val="00207580"/>
    <w:rsid w:val="0021098B"/>
    <w:rsid w:val="00211117"/>
    <w:rsid w:val="0021144F"/>
    <w:rsid w:val="00211A6C"/>
    <w:rsid w:val="002121DC"/>
    <w:rsid w:val="00212358"/>
    <w:rsid w:val="002134D0"/>
    <w:rsid w:val="0021351C"/>
    <w:rsid w:val="00213D8D"/>
    <w:rsid w:val="00214DC4"/>
    <w:rsid w:val="00214E35"/>
    <w:rsid w:val="002150EF"/>
    <w:rsid w:val="002155A3"/>
    <w:rsid w:val="0021612A"/>
    <w:rsid w:val="002162BB"/>
    <w:rsid w:val="0021640F"/>
    <w:rsid w:val="0021738B"/>
    <w:rsid w:val="0021799B"/>
    <w:rsid w:val="00217D6A"/>
    <w:rsid w:val="00220797"/>
    <w:rsid w:val="00220998"/>
    <w:rsid w:val="00221866"/>
    <w:rsid w:val="002218A4"/>
    <w:rsid w:val="002228D3"/>
    <w:rsid w:val="00222ACA"/>
    <w:rsid w:val="002233B6"/>
    <w:rsid w:val="00223CFE"/>
    <w:rsid w:val="002244EF"/>
    <w:rsid w:val="00225DD2"/>
    <w:rsid w:val="00227527"/>
    <w:rsid w:val="00227EC2"/>
    <w:rsid w:val="00230170"/>
    <w:rsid w:val="0023028B"/>
    <w:rsid w:val="002303C8"/>
    <w:rsid w:val="00230468"/>
    <w:rsid w:val="002313A1"/>
    <w:rsid w:val="0023153B"/>
    <w:rsid w:val="00231FCC"/>
    <w:rsid w:val="002321F0"/>
    <w:rsid w:val="0023275A"/>
    <w:rsid w:val="002328AB"/>
    <w:rsid w:val="002328C5"/>
    <w:rsid w:val="00232D24"/>
    <w:rsid w:val="00233053"/>
    <w:rsid w:val="00234C67"/>
    <w:rsid w:val="00234DF5"/>
    <w:rsid w:val="00235D16"/>
    <w:rsid w:val="0023666F"/>
    <w:rsid w:val="00236768"/>
    <w:rsid w:val="00236B32"/>
    <w:rsid w:val="002370CC"/>
    <w:rsid w:val="00241044"/>
    <w:rsid w:val="00241D77"/>
    <w:rsid w:val="0024264C"/>
    <w:rsid w:val="0024377D"/>
    <w:rsid w:val="00243B1B"/>
    <w:rsid w:val="0024467F"/>
    <w:rsid w:val="002455C7"/>
    <w:rsid w:val="00246B76"/>
    <w:rsid w:val="00247303"/>
    <w:rsid w:val="00247448"/>
    <w:rsid w:val="00247BA8"/>
    <w:rsid w:val="00247FE2"/>
    <w:rsid w:val="00250027"/>
    <w:rsid w:val="00250A79"/>
    <w:rsid w:val="00251F6A"/>
    <w:rsid w:val="002521AB"/>
    <w:rsid w:val="00252CEE"/>
    <w:rsid w:val="00253B7A"/>
    <w:rsid w:val="002541A6"/>
    <w:rsid w:val="00254A85"/>
    <w:rsid w:val="00255762"/>
    <w:rsid w:val="00255D16"/>
    <w:rsid w:val="00256B23"/>
    <w:rsid w:val="00256FDD"/>
    <w:rsid w:val="00257956"/>
    <w:rsid w:val="00260293"/>
    <w:rsid w:val="00260D3E"/>
    <w:rsid w:val="00260EA4"/>
    <w:rsid w:val="002615D6"/>
    <w:rsid w:val="00261888"/>
    <w:rsid w:val="00262D2A"/>
    <w:rsid w:val="00263071"/>
    <w:rsid w:val="00263469"/>
    <w:rsid w:val="00263BCB"/>
    <w:rsid w:val="00265EEE"/>
    <w:rsid w:val="00266138"/>
    <w:rsid w:val="00267BB8"/>
    <w:rsid w:val="00270B06"/>
    <w:rsid w:val="0027212A"/>
    <w:rsid w:val="00272A84"/>
    <w:rsid w:val="00272F0A"/>
    <w:rsid w:val="00273558"/>
    <w:rsid w:val="00273987"/>
    <w:rsid w:val="0027430D"/>
    <w:rsid w:val="0027460C"/>
    <w:rsid w:val="00276043"/>
    <w:rsid w:val="00276347"/>
    <w:rsid w:val="002765CF"/>
    <w:rsid w:val="00276E6A"/>
    <w:rsid w:val="002776DA"/>
    <w:rsid w:val="00280694"/>
    <w:rsid w:val="00280918"/>
    <w:rsid w:val="00280BC6"/>
    <w:rsid w:val="00280CF7"/>
    <w:rsid w:val="00281C23"/>
    <w:rsid w:val="0028239F"/>
    <w:rsid w:val="002823FC"/>
    <w:rsid w:val="0028272E"/>
    <w:rsid w:val="00282D32"/>
    <w:rsid w:val="00283ECB"/>
    <w:rsid w:val="00284D8E"/>
    <w:rsid w:val="002854D2"/>
    <w:rsid w:val="002854EB"/>
    <w:rsid w:val="002859FF"/>
    <w:rsid w:val="002869DC"/>
    <w:rsid w:val="00286AF2"/>
    <w:rsid w:val="002872E0"/>
    <w:rsid w:val="00290C55"/>
    <w:rsid w:val="002913E0"/>
    <w:rsid w:val="00293669"/>
    <w:rsid w:val="00293BD1"/>
    <w:rsid w:val="00294F8E"/>
    <w:rsid w:val="00295560"/>
    <w:rsid w:val="0029566E"/>
    <w:rsid w:val="00295726"/>
    <w:rsid w:val="00295F8F"/>
    <w:rsid w:val="00296E7A"/>
    <w:rsid w:val="002973EA"/>
    <w:rsid w:val="00297C90"/>
    <w:rsid w:val="002A111B"/>
    <w:rsid w:val="002A11E5"/>
    <w:rsid w:val="002A16E9"/>
    <w:rsid w:val="002A1C37"/>
    <w:rsid w:val="002A1DEF"/>
    <w:rsid w:val="002A1E64"/>
    <w:rsid w:val="002A2C9C"/>
    <w:rsid w:val="002A311E"/>
    <w:rsid w:val="002A31F9"/>
    <w:rsid w:val="002A335D"/>
    <w:rsid w:val="002A38D9"/>
    <w:rsid w:val="002A3950"/>
    <w:rsid w:val="002A5C28"/>
    <w:rsid w:val="002A6320"/>
    <w:rsid w:val="002A7804"/>
    <w:rsid w:val="002B1A06"/>
    <w:rsid w:val="002B2C3A"/>
    <w:rsid w:val="002B3BC1"/>
    <w:rsid w:val="002B3CC8"/>
    <w:rsid w:val="002B41E8"/>
    <w:rsid w:val="002B4698"/>
    <w:rsid w:val="002B4D84"/>
    <w:rsid w:val="002B54B2"/>
    <w:rsid w:val="002B5ADC"/>
    <w:rsid w:val="002B6389"/>
    <w:rsid w:val="002B6CDA"/>
    <w:rsid w:val="002B71A8"/>
    <w:rsid w:val="002C0598"/>
    <w:rsid w:val="002C07D2"/>
    <w:rsid w:val="002C12A2"/>
    <w:rsid w:val="002C1317"/>
    <w:rsid w:val="002C19A5"/>
    <w:rsid w:val="002C2791"/>
    <w:rsid w:val="002C35B9"/>
    <w:rsid w:val="002C35D5"/>
    <w:rsid w:val="002C40DE"/>
    <w:rsid w:val="002C566D"/>
    <w:rsid w:val="002C70AC"/>
    <w:rsid w:val="002C7BD2"/>
    <w:rsid w:val="002C7EE2"/>
    <w:rsid w:val="002D0354"/>
    <w:rsid w:val="002D05F1"/>
    <w:rsid w:val="002D0B47"/>
    <w:rsid w:val="002D1678"/>
    <w:rsid w:val="002D177B"/>
    <w:rsid w:val="002D3B32"/>
    <w:rsid w:val="002D49D7"/>
    <w:rsid w:val="002D627D"/>
    <w:rsid w:val="002D632F"/>
    <w:rsid w:val="002D672A"/>
    <w:rsid w:val="002D6F65"/>
    <w:rsid w:val="002D7073"/>
    <w:rsid w:val="002E0893"/>
    <w:rsid w:val="002E1A5B"/>
    <w:rsid w:val="002E1B07"/>
    <w:rsid w:val="002E1D7C"/>
    <w:rsid w:val="002E1E25"/>
    <w:rsid w:val="002E3E8C"/>
    <w:rsid w:val="002E4332"/>
    <w:rsid w:val="002E5151"/>
    <w:rsid w:val="002E5614"/>
    <w:rsid w:val="002E61A4"/>
    <w:rsid w:val="002E6601"/>
    <w:rsid w:val="002E672B"/>
    <w:rsid w:val="002E6D67"/>
    <w:rsid w:val="002E6F6E"/>
    <w:rsid w:val="002E721B"/>
    <w:rsid w:val="002F04E0"/>
    <w:rsid w:val="002F085A"/>
    <w:rsid w:val="002F08FB"/>
    <w:rsid w:val="002F0B50"/>
    <w:rsid w:val="002F1D5E"/>
    <w:rsid w:val="002F2195"/>
    <w:rsid w:val="002F2A42"/>
    <w:rsid w:val="002F2B1B"/>
    <w:rsid w:val="002F3320"/>
    <w:rsid w:val="002F33DF"/>
    <w:rsid w:val="002F3F87"/>
    <w:rsid w:val="002F4F91"/>
    <w:rsid w:val="002F6999"/>
    <w:rsid w:val="002F6A12"/>
    <w:rsid w:val="002F6B2F"/>
    <w:rsid w:val="003012EF"/>
    <w:rsid w:val="003038D4"/>
    <w:rsid w:val="003047EB"/>
    <w:rsid w:val="00305866"/>
    <w:rsid w:val="0030592D"/>
    <w:rsid w:val="00305A86"/>
    <w:rsid w:val="0030669B"/>
    <w:rsid w:val="0030693C"/>
    <w:rsid w:val="00310104"/>
    <w:rsid w:val="0031051F"/>
    <w:rsid w:val="00310897"/>
    <w:rsid w:val="00310E02"/>
    <w:rsid w:val="003110BE"/>
    <w:rsid w:val="003113FC"/>
    <w:rsid w:val="00311AC7"/>
    <w:rsid w:val="003125DF"/>
    <w:rsid w:val="00313061"/>
    <w:rsid w:val="003130E2"/>
    <w:rsid w:val="003131A3"/>
    <w:rsid w:val="003133CB"/>
    <w:rsid w:val="00314081"/>
    <w:rsid w:val="003141A0"/>
    <w:rsid w:val="00314272"/>
    <w:rsid w:val="0031459B"/>
    <w:rsid w:val="00315E57"/>
    <w:rsid w:val="00315F88"/>
    <w:rsid w:val="0031602E"/>
    <w:rsid w:val="003177CD"/>
    <w:rsid w:val="00320545"/>
    <w:rsid w:val="00320883"/>
    <w:rsid w:val="003215FD"/>
    <w:rsid w:val="00321B8A"/>
    <w:rsid w:val="00322226"/>
    <w:rsid w:val="003222C4"/>
    <w:rsid w:val="00322799"/>
    <w:rsid w:val="00322B70"/>
    <w:rsid w:val="0032330A"/>
    <w:rsid w:val="00324A7D"/>
    <w:rsid w:val="00325CB5"/>
    <w:rsid w:val="003262C5"/>
    <w:rsid w:val="003262F2"/>
    <w:rsid w:val="0032639B"/>
    <w:rsid w:val="003263F4"/>
    <w:rsid w:val="00326C74"/>
    <w:rsid w:val="003276A9"/>
    <w:rsid w:val="003276EE"/>
    <w:rsid w:val="003277C8"/>
    <w:rsid w:val="00327CFF"/>
    <w:rsid w:val="0033173E"/>
    <w:rsid w:val="00331C6F"/>
    <w:rsid w:val="00331FF3"/>
    <w:rsid w:val="003323C8"/>
    <w:rsid w:val="0033335C"/>
    <w:rsid w:val="00333E2F"/>
    <w:rsid w:val="00334FC1"/>
    <w:rsid w:val="00336975"/>
    <w:rsid w:val="0033702C"/>
    <w:rsid w:val="00337897"/>
    <w:rsid w:val="0034157A"/>
    <w:rsid w:val="00343680"/>
    <w:rsid w:val="003459D9"/>
    <w:rsid w:val="00345EE6"/>
    <w:rsid w:val="003461CF"/>
    <w:rsid w:val="00346A78"/>
    <w:rsid w:val="00347BD3"/>
    <w:rsid w:val="00347C13"/>
    <w:rsid w:val="00351086"/>
    <w:rsid w:val="00353AE1"/>
    <w:rsid w:val="003541DF"/>
    <w:rsid w:val="00356CE3"/>
    <w:rsid w:val="00357582"/>
    <w:rsid w:val="00357841"/>
    <w:rsid w:val="003604EA"/>
    <w:rsid w:val="00360872"/>
    <w:rsid w:val="00360E62"/>
    <w:rsid w:val="00360FAF"/>
    <w:rsid w:val="00361A5C"/>
    <w:rsid w:val="003631FD"/>
    <w:rsid w:val="00363278"/>
    <w:rsid w:val="0036425F"/>
    <w:rsid w:val="00364699"/>
    <w:rsid w:val="003649D9"/>
    <w:rsid w:val="00364F36"/>
    <w:rsid w:val="00365FFF"/>
    <w:rsid w:val="003660D0"/>
    <w:rsid w:val="00370310"/>
    <w:rsid w:val="003707B2"/>
    <w:rsid w:val="003711C3"/>
    <w:rsid w:val="00371BD3"/>
    <w:rsid w:val="00372028"/>
    <w:rsid w:val="0037202F"/>
    <w:rsid w:val="00373E85"/>
    <w:rsid w:val="00373F7D"/>
    <w:rsid w:val="003750D3"/>
    <w:rsid w:val="00375C01"/>
    <w:rsid w:val="00376F16"/>
    <w:rsid w:val="00377AAF"/>
    <w:rsid w:val="00380D02"/>
    <w:rsid w:val="003814E4"/>
    <w:rsid w:val="00381F0C"/>
    <w:rsid w:val="00382D92"/>
    <w:rsid w:val="00383CEC"/>
    <w:rsid w:val="00384F8D"/>
    <w:rsid w:val="00385079"/>
    <w:rsid w:val="00387755"/>
    <w:rsid w:val="003879A9"/>
    <w:rsid w:val="0039040B"/>
    <w:rsid w:val="00390E6B"/>
    <w:rsid w:val="003921D9"/>
    <w:rsid w:val="0039286C"/>
    <w:rsid w:val="00393F19"/>
    <w:rsid w:val="0039466A"/>
    <w:rsid w:val="003953CE"/>
    <w:rsid w:val="003968E4"/>
    <w:rsid w:val="00397261"/>
    <w:rsid w:val="003A0457"/>
    <w:rsid w:val="003A08CF"/>
    <w:rsid w:val="003A1222"/>
    <w:rsid w:val="003A1996"/>
    <w:rsid w:val="003A1BE9"/>
    <w:rsid w:val="003A1D65"/>
    <w:rsid w:val="003A35F8"/>
    <w:rsid w:val="003A3776"/>
    <w:rsid w:val="003A3BC6"/>
    <w:rsid w:val="003A5417"/>
    <w:rsid w:val="003A5BD0"/>
    <w:rsid w:val="003A5C71"/>
    <w:rsid w:val="003A6D14"/>
    <w:rsid w:val="003B056C"/>
    <w:rsid w:val="003B0FA5"/>
    <w:rsid w:val="003B17C3"/>
    <w:rsid w:val="003B1B95"/>
    <w:rsid w:val="003B28F4"/>
    <w:rsid w:val="003B3728"/>
    <w:rsid w:val="003B3A68"/>
    <w:rsid w:val="003B3B45"/>
    <w:rsid w:val="003B3EE2"/>
    <w:rsid w:val="003B3F35"/>
    <w:rsid w:val="003B4DA7"/>
    <w:rsid w:val="003B518B"/>
    <w:rsid w:val="003B56A8"/>
    <w:rsid w:val="003B5827"/>
    <w:rsid w:val="003B749A"/>
    <w:rsid w:val="003C00D2"/>
    <w:rsid w:val="003C23B0"/>
    <w:rsid w:val="003C23C2"/>
    <w:rsid w:val="003C292E"/>
    <w:rsid w:val="003C35C6"/>
    <w:rsid w:val="003C57D8"/>
    <w:rsid w:val="003C59DD"/>
    <w:rsid w:val="003C6881"/>
    <w:rsid w:val="003C6A7F"/>
    <w:rsid w:val="003C6BA5"/>
    <w:rsid w:val="003C7AD0"/>
    <w:rsid w:val="003C7AD9"/>
    <w:rsid w:val="003D017A"/>
    <w:rsid w:val="003D0826"/>
    <w:rsid w:val="003D0863"/>
    <w:rsid w:val="003D0C33"/>
    <w:rsid w:val="003D137E"/>
    <w:rsid w:val="003D1E3F"/>
    <w:rsid w:val="003D2FA0"/>
    <w:rsid w:val="003D43A4"/>
    <w:rsid w:val="003D4F8D"/>
    <w:rsid w:val="003D58F0"/>
    <w:rsid w:val="003D67A3"/>
    <w:rsid w:val="003D716D"/>
    <w:rsid w:val="003D7195"/>
    <w:rsid w:val="003D71F4"/>
    <w:rsid w:val="003D7A5B"/>
    <w:rsid w:val="003D7C83"/>
    <w:rsid w:val="003D7EAA"/>
    <w:rsid w:val="003D7FF7"/>
    <w:rsid w:val="003E07CD"/>
    <w:rsid w:val="003E0A8D"/>
    <w:rsid w:val="003E0B83"/>
    <w:rsid w:val="003E10EA"/>
    <w:rsid w:val="003E19A0"/>
    <w:rsid w:val="003E1B6B"/>
    <w:rsid w:val="003E1E95"/>
    <w:rsid w:val="003E3EE1"/>
    <w:rsid w:val="003E47E1"/>
    <w:rsid w:val="003E4B13"/>
    <w:rsid w:val="003E580E"/>
    <w:rsid w:val="003E723F"/>
    <w:rsid w:val="003F010F"/>
    <w:rsid w:val="003F0168"/>
    <w:rsid w:val="003F1211"/>
    <w:rsid w:val="003F1A11"/>
    <w:rsid w:val="003F2679"/>
    <w:rsid w:val="003F2B7F"/>
    <w:rsid w:val="003F2B8A"/>
    <w:rsid w:val="003F2BB8"/>
    <w:rsid w:val="003F30AD"/>
    <w:rsid w:val="003F3DAE"/>
    <w:rsid w:val="003F5174"/>
    <w:rsid w:val="003F66F3"/>
    <w:rsid w:val="003F6ED0"/>
    <w:rsid w:val="003F745B"/>
    <w:rsid w:val="003F7837"/>
    <w:rsid w:val="003F7E13"/>
    <w:rsid w:val="004009BB"/>
    <w:rsid w:val="00400A31"/>
    <w:rsid w:val="00400C65"/>
    <w:rsid w:val="004012AD"/>
    <w:rsid w:val="004015E6"/>
    <w:rsid w:val="0040417F"/>
    <w:rsid w:val="00404CAD"/>
    <w:rsid w:val="00404E3E"/>
    <w:rsid w:val="004051C9"/>
    <w:rsid w:val="00405E33"/>
    <w:rsid w:val="004060E7"/>
    <w:rsid w:val="0040763A"/>
    <w:rsid w:val="004100E5"/>
    <w:rsid w:val="004123AA"/>
    <w:rsid w:val="0041333E"/>
    <w:rsid w:val="00413B2A"/>
    <w:rsid w:val="00413BCB"/>
    <w:rsid w:val="0041413E"/>
    <w:rsid w:val="004147CF"/>
    <w:rsid w:val="00415216"/>
    <w:rsid w:val="0041576B"/>
    <w:rsid w:val="00415AE2"/>
    <w:rsid w:val="00415E11"/>
    <w:rsid w:val="0041601E"/>
    <w:rsid w:val="00417ACD"/>
    <w:rsid w:val="00420E16"/>
    <w:rsid w:val="00424878"/>
    <w:rsid w:val="0042505F"/>
    <w:rsid w:val="00425785"/>
    <w:rsid w:val="004257E8"/>
    <w:rsid w:val="00425A46"/>
    <w:rsid w:val="00426423"/>
    <w:rsid w:val="004270CD"/>
    <w:rsid w:val="00427524"/>
    <w:rsid w:val="00427FAE"/>
    <w:rsid w:val="00430F60"/>
    <w:rsid w:val="004310B4"/>
    <w:rsid w:val="00431654"/>
    <w:rsid w:val="00431D16"/>
    <w:rsid w:val="0043240B"/>
    <w:rsid w:val="0043249C"/>
    <w:rsid w:val="004328F0"/>
    <w:rsid w:val="00434801"/>
    <w:rsid w:val="00434FE0"/>
    <w:rsid w:val="00435259"/>
    <w:rsid w:val="00436B01"/>
    <w:rsid w:val="00436B9D"/>
    <w:rsid w:val="00436E62"/>
    <w:rsid w:val="004400A7"/>
    <w:rsid w:val="00440BCB"/>
    <w:rsid w:val="00441850"/>
    <w:rsid w:val="00441C8E"/>
    <w:rsid w:val="0044218A"/>
    <w:rsid w:val="00442CC9"/>
    <w:rsid w:val="00442F0B"/>
    <w:rsid w:val="00442FE7"/>
    <w:rsid w:val="00444E1E"/>
    <w:rsid w:val="0044501B"/>
    <w:rsid w:val="004456A0"/>
    <w:rsid w:val="004457F4"/>
    <w:rsid w:val="004458B8"/>
    <w:rsid w:val="004468C1"/>
    <w:rsid w:val="00446BEB"/>
    <w:rsid w:val="004475DD"/>
    <w:rsid w:val="00447D43"/>
    <w:rsid w:val="00447FF2"/>
    <w:rsid w:val="004505FD"/>
    <w:rsid w:val="00450985"/>
    <w:rsid w:val="00450B0B"/>
    <w:rsid w:val="00451055"/>
    <w:rsid w:val="00451744"/>
    <w:rsid w:val="00452155"/>
    <w:rsid w:val="00452CF0"/>
    <w:rsid w:val="00453187"/>
    <w:rsid w:val="00453D71"/>
    <w:rsid w:val="0045517F"/>
    <w:rsid w:val="0045547A"/>
    <w:rsid w:val="00457062"/>
    <w:rsid w:val="0045763F"/>
    <w:rsid w:val="004607BC"/>
    <w:rsid w:val="0046163C"/>
    <w:rsid w:val="004618F0"/>
    <w:rsid w:val="004623FB"/>
    <w:rsid w:val="00462D01"/>
    <w:rsid w:val="004630C7"/>
    <w:rsid w:val="00463624"/>
    <w:rsid w:val="00463716"/>
    <w:rsid w:val="00463E51"/>
    <w:rsid w:val="0046462D"/>
    <w:rsid w:val="004660C6"/>
    <w:rsid w:val="00466479"/>
    <w:rsid w:val="004675CA"/>
    <w:rsid w:val="00467A35"/>
    <w:rsid w:val="00467B2F"/>
    <w:rsid w:val="004709C1"/>
    <w:rsid w:val="00470E15"/>
    <w:rsid w:val="0047185B"/>
    <w:rsid w:val="00472CE3"/>
    <w:rsid w:val="004739DD"/>
    <w:rsid w:val="00473D9C"/>
    <w:rsid w:val="00474C21"/>
    <w:rsid w:val="00474FB0"/>
    <w:rsid w:val="0047524E"/>
    <w:rsid w:val="004753B5"/>
    <w:rsid w:val="00476775"/>
    <w:rsid w:val="00477402"/>
    <w:rsid w:val="004777BD"/>
    <w:rsid w:val="00477B81"/>
    <w:rsid w:val="00477C86"/>
    <w:rsid w:val="0048049D"/>
    <w:rsid w:val="0048085E"/>
    <w:rsid w:val="00481366"/>
    <w:rsid w:val="0048180A"/>
    <w:rsid w:val="00481FE9"/>
    <w:rsid w:val="00482D0C"/>
    <w:rsid w:val="004831CB"/>
    <w:rsid w:val="00483370"/>
    <w:rsid w:val="00484BF4"/>
    <w:rsid w:val="00485680"/>
    <w:rsid w:val="00485DD5"/>
    <w:rsid w:val="004864B9"/>
    <w:rsid w:val="004867C1"/>
    <w:rsid w:val="004867E7"/>
    <w:rsid w:val="0048784D"/>
    <w:rsid w:val="004878C5"/>
    <w:rsid w:val="004900C9"/>
    <w:rsid w:val="00490312"/>
    <w:rsid w:val="004906F3"/>
    <w:rsid w:val="00490A91"/>
    <w:rsid w:val="0049120A"/>
    <w:rsid w:val="00491EC9"/>
    <w:rsid w:val="00492729"/>
    <w:rsid w:val="004928D0"/>
    <w:rsid w:val="00492C75"/>
    <w:rsid w:val="004930C2"/>
    <w:rsid w:val="004939A8"/>
    <w:rsid w:val="00493A0A"/>
    <w:rsid w:val="004948FB"/>
    <w:rsid w:val="00494CAD"/>
    <w:rsid w:val="00495425"/>
    <w:rsid w:val="00495D40"/>
    <w:rsid w:val="00496C08"/>
    <w:rsid w:val="004978C9"/>
    <w:rsid w:val="004A03C3"/>
    <w:rsid w:val="004A1AD7"/>
    <w:rsid w:val="004A205C"/>
    <w:rsid w:val="004A238C"/>
    <w:rsid w:val="004A2926"/>
    <w:rsid w:val="004A3649"/>
    <w:rsid w:val="004A5586"/>
    <w:rsid w:val="004A5CA2"/>
    <w:rsid w:val="004A6E44"/>
    <w:rsid w:val="004A79A0"/>
    <w:rsid w:val="004B04FD"/>
    <w:rsid w:val="004B0DF9"/>
    <w:rsid w:val="004B3A6C"/>
    <w:rsid w:val="004B40F8"/>
    <w:rsid w:val="004B55FC"/>
    <w:rsid w:val="004B63BF"/>
    <w:rsid w:val="004B640F"/>
    <w:rsid w:val="004B7EDC"/>
    <w:rsid w:val="004B7F30"/>
    <w:rsid w:val="004C0C18"/>
    <w:rsid w:val="004C0FA2"/>
    <w:rsid w:val="004C102E"/>
    <w:rsid w:val="004C1193"/>
    <w:rsid w:val="004C1418"/>
    <w:rsid w:val="004C1A12"/>
    <w:rsid w:val="004C44B7"/>
    <w:rsid w:val="004C4E22"/>
    <w:rsid w:val="004C4FF6"/>
    <w:rsid w:val="004C6357"/>
    <w:rsid w:val="004C70A8"/>
    <w:rsid w:val="004D0185"/>
    <w:rsid w:val="004D025F"/>
    <w:rsid w:val="004D0636"/>
    <w:rsid w:val="004D07E2"/>
    <w:rsid w:val="004D1A15"/>
    <w:rsid w:val="004D21D6"/>
    <w:rsid w:val="004D2D80"/>
    <w:rsid w:val="004D493D"/>
    <w:rsid w:val="004D5512"/>
    <w:rsid w:val="004D5B7B"/>
    <w:rsid w:val="004D5EAB"/>
    <w:rsid w:val="004D642E"/>
    <w:rsid w:val="004D6D54"/>
    <w:rsid w:val="004D6E9B"/>
    <w:rsid w:val="004D7032"/>
    <w:rsid w:val="004D7325"/>
    <w:rsid w:val="004D760B"/>
    <w:rsid w:val="004E0F00"/>
    <w:rsid w:val="004E107B"/>
    <w:rsid w:val="004E2611"/>
    <w:rsid w:val="004E2D10"/>
    <w:rsid w:val="004E36A1"/>
    <w:rsid w:val="004E4DC5"/>
    <w:rsid w:val="004E5224"/>
    <w:rsid w:val="004E62DF"/>
    <w:rsid w:val="004E786C"/>
    <w:rsid w:val="004F0010"/>
    <w:rsid w:val="004F18FE"/>
    <w:rsid w:val="004F1D7D"/>
    <w:rsid w:val="004F29CA"/>
    <w:rsid w:val="004F3320"/>
    <w:rsid w:val="004F3677"/>
    <w:rsid w:val="004F36D4"/>
    <w:rsid w:val="004F4386"/>
    <w:rsid w:val="004F527E"/>
    <w:rsid w:val="004F5D71"/>
    <w:rsid w:val="005006BA"/>
    <w:rsid w:val="00500F7E"/>
    <w:rsid w:val="0050341F"/>
    <w:rsid w:val="005041ED"/>
    <w:rsid w:val="0050426A"/>
    <w:rsid w:val="00504404"/>
    <w:rsid w:val="00505023"/>
    <w:rsid w:val="00507311"/>
    <w:rsid w:val="00507912"/>
    <w:rsid w:val="005079CD"/>
    <w:rsid w:val="005123ED"/>
    <w:rsid w:val="005124F7"/>
    <w:rsid w:val="00512EDD"/>
    <w:rsid w:val="005130F1"/>
    <w:rsid w:val="00514C3A"/>
    <w:rsid w:val="0051604C"/>
    <w:rsid w:val="00516469"/>
    <w:rsid w:val="005168C6"/>
    <w:rsid w:val="005207D2"/>
    <w:rsid w:val="00521357"/>
    <w:rsid w:val="005215B0"/>
    <w:rsid w:val="00521B1D"/>
    <w:rsid w:val="00522F44"/>
    <w:rsid w:val="005241F3"/>
    <w:rsid w:val="00524255"/>
    <w:rsid w:val="005248E3"/>
    <w:rsid w:val="00524F16"/>
    <w:rsid w:val="00524F96"/>
    <w:rsid w:val="0052545B"/>
    <w:rsid w:val="00525654"/>
    <w:rsid w:val="0052580C"/>
    <w:rsid w:val="00525A7D"/>
    <w:rsid w:val="00525F16"/>
    <w:rsid w:val="00526E2D"/>
    <w:rsid w:val="00527D48"/>
    <w:rsid w:val="00527FA2"/>
    <w:rsid w:val="0053028E"/>
    <w:rsid w:val="00530A73"/>
    <w:rsid w:val="0053156E"/>
    <w:rsid w:val="00532985"/>
    <w:rsid w:val="005340B1"/>
    <w:rsid w:val="005344CF"/>
    <w:rsid w:val="00534D02"/>
    <w:rsid w:val="00534E9E"/>
    <w:rsid w:val="0053520F"/>
    <w:rsid w:val="0053563C"/>
    <w:rsid w:val="0053651F"/>
    <w:rsid w:val="00537367"/>
    <w:rsid w:val="00540C95"/>
    <w:rsid w:val="00541351"/>
    <w:rsid w:val="0054190D"/>
    <w:rsid w:val="00543A03"/>
    <w:rsid w:val="00543F5B"/>
    <w:rsid w:val="005440BA"/>
    <w:rsid w:val="0054431D"/>
    <w:rsid w:val="0054464C"/>
    <w:rsid w:val="0054465A"/>
    <w:rsid w:val="00545A37"/>
    <w:rsid w:val="00546F52"/>
    <w:rsid w:val="0054728A"/>
    <w:rsid w:val="0055031F"/>
    <w:rsid w:val="00551153"/>
    <w:rsid w:val="005531B7"/>
    <w:rsid w:val="00553341"/>
    <w:rsid w:val="0055378D"/>
    <w:rsid w:val="00553FE0"/>
    <w:rsid w:val="00554124"/>
    <w:rsid w:val="005543DB"/>
    <w:rsid w:val="0055544D"/>
    <w:rsid w:val="00555ECC"/>
    <w:rsid w:val="00555FE7"/>
    <w:rsid w:val="00556421"/>
    <w:rsid w:val="00556442"/>
    <w:rsid w:val="005566B1"/>
    <w:rsid w:val="00556725"/>
    <w:rsid w:val="005568FA"/>
    <w:rsid w:val="00557338"/>
    <w:rsid w:val="00560B84"/>
    <w:rsid w:val="00560CEF"/>
    <w:rsid w:val="00560D69"/>
    <w:rsid w:val="0056162D"/>
    <w:rsid w:val="00561BDA"/>
    <w:rsid w:val="00563029"/>
    <w:rsid w:val="00565789"/>
    <w:rsid w:val="005659D5"/>
    <w:rsid w:val="00566AA6"/>
    <w:rsid w:val="00566E53"/>
    <w:rsid w:val="0056724D"/>
    <w:rsid w:val="00567265"/>
    <w:rsid w:val="005676BD"/>
    <w:rsid w:val="00570937"/>
    <w:rsid w:val="0057099B"/>
    <w:rsid w:val="005714B8"/>
    <w:rsid w:val="005719AA"/>
    <w:rsid w:val="00573716"/>
    <w:rsid w:val="005740C1"/>
    <w:rsid w:val="0057476C"/>
    <w:rsid w:val="005748FE"/>
    <w:rsid w:val="0057508A"/>
    <w:rsid w:val="0057514C"/>
    <w:rsid w:val="00575FE0"/>
    <w:rsid w:val="00576354"/>
    <w:rsid w:val="00576D93"/>
    <w:rsid w:val="0057721E"/>
    <w:rsid w:val="00577D6B"/>
    <w:rsid w:val="005805FC"/>
    <w:rsid w:val="00581E44"/>
    <w:rsid w:val="005825D0"/>
    <w:rsid w:val="00582D4A"/>
    <w:rsid w:val="00583098"/>
    <w:rsid w:val="005842AD"/>
    <w:rsid w:val="005851B1"/>
    <w:rsid w:val="005859E8"/>
    <w:rsid w:val="00585BFD"/>
    <w:rsid w:val="005876A6"/>
    <w:rsid w:val="00587AAE"/>
    <w:rsid w:val="00590083"/>
    <w:rsid w:val="0059061A"/>
    <w:rsid w:val="00590913"/>
    <w:rsid w:val="0059546B"/>
    <w:rsid w:val="00595AC9"/>
    <w:rsid w:val="00596C59"/>
    <w:rsid w:val="00596DE3"/>
    <w:rsid w:val="00597560"/>
    <w:rsid w:val="005A2004"/>
    <w:rsid w:val="005A23E0"/>
    <w:rsid w:val="005A2F31"/>
    <w:rsid w:val="005A2FDC"/>
    <w:rsid w:val="005A36D5"/>
    <w:rsid w:val="005A3AF2"/>
    <w:rsid w:val="005A3B08"/>
    <w:rsid w:val="005A496F"/>
    <w:rsid w:val="005A4A94"/>
    <w:rsid w:val="005A56F2"/>
    <w:rsid w:val="005A6A3C"/>
    <w:rsid w:val="005A71E3"/>
    <w:rsid w:val="005B0F07"/>
    <w:rsid w:val="005B0FF1"/>
    <w:rsid w:val="005B149C"/>
    <w:rsid w:val="005B18C1"/>
    <w:rsid w:val="005B53A1"/>
    <w:rsid w:val="005B58D7"/>
    <w:rsid w:val="005B6575"/>
    <w:rsid w:val="005C0C8B"/>
    <w:rsid w:val="005C0D35"/>
    <w:rsid w:val="005C18A2"/>
    <w:rsid w:val="005C2EC0"/>
    <w:rsid w:val="005C31CA"/>
    <w:rsid w:val="005C417D"/>
    <w:rsid w:val="005C4834"/>
    <w:rsid w:val="005C4977"/>
    <w:rsid w:val="005C4F53"/>
    <w:rsid w:val="005C5309"/>
    <w:rsid w:val="005C5FC7"/>
    <w:rsid w:val="005C6416"/>
    <w:rsid w:val="005C7622"/>
    <w:rsid w:val="005C7B2A"/>
    <w:rsid w:val="005C7BD2"/>
    <w:rsid w:val="005D065C"/>
    <w:rsid w:val="005D0774"/>
    <w:rsid w:val="005D0E53"/>
    <w:rsid w:val="005D1E4E"/>
    <w:rsid w:val="005D290E"/>
    <w:rsid w:val="005D36FA"/>
    <w:rsid w:val="005D3E5C"/>
    <w:rsid w:val="005D4F68"/>
    <w:rsid w:val="005D5B68"/>
    <w:rsid w:val="005D5E99"/>
    <w:rsid w:val="005D6247"/>
    <w:rsid w:val="005D6B5B"/>
    <w:rsid w:val="005D7109"/>
    <w:rsid w:val="005D7E2C"/>
    <w:rsid w:val="005E03C0"/>
    <w:rsid w:val="005E042F"/>
    <w:rsid w:val="005E1436"/>
    <w:rsid w:val="005E225E"/>
    <w:rsid w:val="005E24DA"/>
    <w:rsid w:val="005E2B25"/>
    <w:rsid w:val="005E3476"/>
    <w:rsid w:val="005E3B08"/>
    <w:rsid w:val="005E446A"/>
    <w:rsid w:val="005E4945"/>
    <w:rsid w:val="005E6500"/>
    <w:rsid w:val="005E6D63"/>
    <w:rsid w:val="005E6F0D"/>
    <w:rsid w:val="005E75AF"/>
    <w:rsid w:val="005F0872"/>
    <w:rsid w:val="005F1397"/>
    <w:rsid w:val="005F20E5"/>
    <w:rsid w:val="005F2756"/>
    <w:rsid w:val="005F2D88"/>
    <w:rsid w:val="005F3F0C"/>
    <w:rsid w:val="005F3F84"/>
    <w:rsid w:val="005F42E7"/>
    <w:rsid w:val="005F4710"/>
    <w:rsid w:val="005F4D5B"/>
    <w:rsid w:val="005F4F3D"/>
    <w:rsid w:val="005F5029"/>
    <w:rsid w:val="005F5226"/>
    <w:rsid w:val="005F5F86"/>
    <w:rsid w:val="005F62AA"/>
    <w:rsid w:val="005F6381"/>
    <w:rsid w:val="005F6750"/>
    <w:rsid w:val="005F6C6A"/>
    <w:rsid w:val="0060023A"/>
    <w:rsid w:val="00600E75"/>
    <w:rsid w:val="006018F2"/>
    <w:rsid w:val="00602936"/>
    <w:rsid w:val="0060306F"/>
    <w:rsid w:val="00603472"/>
    <w:rsid w:val="006038D8"/>
    <w:rsid w:val="0060391E"/>
    <w:rsid w:val="006048B2"/>
    <w:rsid w:val="00604BFC"/>
    <w:rsid w:val="006066EA"/>
    <w:rsid w:val="00606F07"/>
    <w:rsid w:val="00607103"/>
    <w:rsid w:val="006071EB"/>
    <w:rsid w:val="0060731A"/>
    <w:rsid w:val="006100EB"/>
    <w:rsid w:val="006102C2"/>
    <w:rsid w:val="00610319"/>
    <w:rsid w:val="0061066E"/>
    <w:rsid w:val="00611234"/>
    <w:rsid w:val="00612405"/>
    <w:rsid w:val="00612A71"/>
    <w:rsid w:val="00612F6E"/>
    <w:rsid w:val="006142CB"/>
    <w:rsid w:val="00614799"/>
    <w:rsid w:val="0061481A"/>
    <w:rsid w:val="0061515A"/>
    <w:rsid w:val="00615208"/>
    <w:rsid w:val="006154B5"/>
    <w:rsid w:val="00615869"/>
    <w:rsid w:val="0061662D"/>
    <w:rsid w:val="00616D74"/>
    <w:rsid w:val="00617F35"/>
    <w:rsid w:val="006209CD"/>
    <w:rsid w:val="006219FB"/>
    <w:rsid w:val="00622D32"/>
    <w:rsid w:val="00622DD4"/>
    <w:rsid w:val="00623467"/>
    <w:rsid w:val="0062442B"/>
    <w:rsid w:val="006252A9"/>
    <w:rsid w:val="00626391"/>
    <w:rsid w:val="0063043D"/>
    <w:rsid w:val="00631155"/>
    <w:rsid w:val="0063175D"/>
    <w:rsid w:val="0063300C"/>
    <w:rsid w:val="00633301"/>
    <w:rsid w:val="006336CC"/>
    <w:rsid w:val="00633931"/>
    <w:rsid w:val="00633A9F"/>
    <w:rsid w:val="006340C3"/>
    <w:rsid w:val="00634139"/>
    <w:rsid w:val="00636314"/>
    <w:rsid w:val="006366A6"/>
    <w:rsid w:val="00636824"/>
    <w:rsid w:val="00636CBB"/>
    <w:rsid w:val="0064008A"/>
    <w:rsid w:val="00642D02"/>
    <w:rsid w:val="00643836"/>
    <w:rsid w:val="00644D2D"/>
    <w:rsid w:val="00646055"/>
    <w:rsid w:val="006462B7"/>
    <w:rsid w:val="00646A5E"/>
    <w:rsid w:val="006476CF"/>
    <w:rsid w:val="00650570"/>
    <w:rsid w:val="00650845"/>
    <w:rsid w:val="0065206F"/>
    <w:rsid w:val="00652B5C"/>
    <w:rsid w:val="00653242"/>
    <w:rsid w:val="006543DC"/>
    <w:rsid w:val="006546DE"/>
    <w:rsid w:val="006549D2"/>
    <w:rsid w:val="00655127"/>
    <w:rsid w:val="0065749B"/>
    <w:rsid w:val="006575BA"/>
    <w:rsid w:val="00657B60"/>
    <w:rsid w:val="00661BDC"/>
    <w:rsid w:val="006627CC"/>
    <w:rsid w:val="00663B78"/>
    <w:rsid w:val="0066418E"/>
    <w:rsid w:val="006649D8"/>
    <w:rsid w:val="00664D98"/>
    <w:rsid w:val="00665349"/>
    <w:rsid w:val="006653F6"/>
    <w:rsid w:val="006655CE"/>
    <w:rsid w:val="00665783"/>
    <w:rsid w:val="00667E9E"/>
    <w:rsid w:val="00670C52"/>
    <w:rsid w:val="00670E5D"/>
    <w:rsid w:val="00671278"/>
    <w:rsid w:val="006716CB"/>
    <w:rsid w:val="0067180E"/>
    <w:rsid w:val="00671945"/>
    <w:rsid w:val="00671EB4"/>
    <w:rsid w:val="00671FA2"/>
    <w:rsid w:val="00672721"/>
    <w:rsid w:val="00673405"/>
    <w:rsid w:val="00674020"/>
    <w:rsid w:val="006742F1"/>
    <w:rsid w:val="00674989"/>
    <w:rsid w:val="00676763"/>
    <w:rsid w:val="00676B18"/>
    <w:rsid w:val="00676DDD"/>
    <w:rsid w:val="006778CD"/>
    <w:rsid w:val="00677F11"/>
    <w:rsid w:val="0068047C"/>
    <w:rsid w:val="00680E98"/>
    <w:rsid w:val="00681A4E"/>
    <w:rsid w:val="00681A53"/>
    <w:rsid w:val="00682718"/>
    <w:rsid w:val="00682B31"/>
    <w:rsid w:val="00682F32"/>
    <w:rsid w:val="00682FAC"/>
    <w:rsid w:val="00683F61"/>
    <w:rsid w:val="00686658"/>
    <w:rsid w:val="00686C29"/>
    <w:rsid w:val="00686D2F"/>
    <w:rsid w:val="00690295"/>
    <w:rsid w:val="006915CF"/>
    <w:rsid w:val="006924B1"/>
    <w:rsid w:val="006936D6"/>
    <w:rsid w:val="00693A14"/>
    <w:rsid w:val="00693D2F"/>
    <w:rsid w:val="00694BE4"/>
    <w:rsid w:val="00694F6E"/>
    <w:rsid w:val="0069521E"/>
    <w:rsid w:val="0069562D"/>
    <w:rsid w:val="00695AD7"/>
    <w:rsid w:val="006970F4"/>
    <w:rsid w:val="006974A2"/>
    <w:rsid w:val="006A06D6"/>
    <w:rsid w:val="006A0F06"/>
    <w:rsid w:val="006A1836"/>
    <w:rsid w:val="006A208F"/>
    <w:rsid w:val="006A20C2"/>
    <w:rsid w:val="006A2291"/>
    <w:rsid w:val="006A24BF"/>
    <w:rsid w:val="006A2BA4"/>
    <w:rsid w:val="006A3DD6"/>
    <w:rsid w:val="006A4582"/>
    <w:rsid w:val="006A4ADE"/>
    <w:rsid w:val="006A4ED9"/>
    <w:rsid w:val="006A5430"/>
    <w:rsid w:val="006A5905"/>
    <w:rsid w:val="006A5ACE"/>
    <w:rsid w:val="006A68C1"/>
    <w:rsid w:val="006A6DEA"/>
    <w:rsid w:val="006A78FA"/>
    <w:rsid w:val="006A7FAD"/>
    <w:rsid w:val="006B06E3"/>
    <w:rsid w:val="006B079E"/>
    <w:rsid w:val="006B0A55"/>
    <w:rsid w:val="006B0CC0"/>
    <w:rsid w:val="006B0FBA"/>
    <w:rsid w:val="006B131F"/>
    <w:rsid w:val="006B17EB"/>
    <w:rsid w:val="006B19D4"/>
    <w:rsid w:val="006B3717"/>
    <w:rsid w:val="006B3812"/>
    <w:rsid w:val="006B3E0C"/>
    <w:rsid w:val="006B48C7"/>
    <w:rsid w:val="006B50AE"/>
    <w:rsid w:val="006B5A48"/>
    <w:rsid w:val="006B67EB"/>
    <w:rsid w:val="006B67EF"/>
    <w:rsid w:val="006B7DFC"/>
    <w:rsid w:val="006C0162"/>
    <w:rsid w:val="006C0476"/>
    <w:rsid w:val="006C1666"/>
    <w:rsid w:val="006C1819"/>
    <w:rsid w:val="006C1CC3"/>
    <w:rsid w:val="006C2450"/>
    <w:rsid w:val="006C2DA1"/>
    <w:rsid w:val="006C304B"/>
    <w:rsid w:val="006C35EA"/>
    <w:rsid w:val="006C396E"/>
    <w:rsid w:val="006C42DC"/>
    <w:rsid w:val="006C4715"/>
    <w:rsid w:val="006C4A6F"/>
    <w:rsid w:val="006C4C20"/>
    <w:rsid w:val="006C4D47"/>
    <w:rsid w:val="006C5EC5"/>
    <w:rsid w:val="006C6F35"/>
    <w:rsid w:val="006C706E"/>
    <w:rsid w:val="006C7B84"/>
    <w:rsid w:val="006D1689"/>
    <w:rsid w:val="006D20B6"/>
    <w:rsid w:val="006D20C6"/>
    <w:rsid w:val="006D2190"/>
    <w:rsid w:val="006D343C"/>
    <w:rsid w:val="006D3929"/>
    <w:rsid w:val="006D3955"/>
    <w:rsid w:val="006D48F1"/>
    <w:rsid w:val="006D589E"/>
    <w:rsid w:val="006D5B86"/>
    <w:rsid w:val="006D60F6"/>
    <w:rsid w:val="006D6301"/>
    <w:rsid w:val="006D67F2"/>
    <w:rsid w:val="006D6F93"/>
    <w:rsid w:val="006E0B09"/>
    <w:rsid w:val="006E0E16"/>
    <w:rsid w:val="006E13AE"/>
    <w:rsid w:val="006E279C"/>
    <w:rsid w:val="006E3379"/>
    <w:rsid w:val="006E3D80"/>
    <w:rsid w:val="006E45D9"/>
    <w:rsid w:val="006E4D45"/>
    <w:rsid w:val="006E51DA"/>
    <w:rsid w:val="006E5290"/>
    <w:rsid w:val="006E5A6C"/>
    <w:rsid w:val="006E5AA5"/>
    <w:rsid w:val="006E5C6F"/>
    <w:rsid w:val="006E5CE6"/>
    <w:rsid w:val="006E66E0"/>
    <w:rsid w:val="006E7E1C"/>
    <w:rsid w:val="006F0291"/>
    <w:rsid w:val="006F1945"/>
    <w:rsid w:val="006F1AFE"/>
    <w:rsid w:val="006F3E63"/>
    <w:rsid w:val="006F4F76"/>
    <w:rsid w:val="006F5375"/>
    <w:rsid w:val="006F5D17"/>
    <w:rsid w:val="006F6F71"/>
    <w:rsid w:val="007001CB"/>
    <w:rsid w:val="007009BC"/>
    <w:rsid w:val="00700ABF"/>
    <w:rsid w:val="007014FB"/>
    <w:rsid w:val="00701664"/>
    <w:rsid w:val="00702131"/>
    <w:rsid w:val="00702466"/>
    <w:rsid w:val="00703FC7"/>
    <w:rsid w:val="00704123"/>
    <w:rsid w:val="007044D4"/>
    <w:rsid w:val="00704810"/>
    <w:rsid w:val="00704DF0"/>
    <w:rsid w:val="00705034"/>
    <w:rsid w:val="00705E33"/>
    <w:rsid w:val="00706A3E"/>
    <w:rsid w:val="00706B1E"/>
    <w:rsid w:val="007106BA"/>
    <w:rsid w:val="00710855"/>
    <w:rsid w:val="00710B54"/>
    <w:rsid w:val="00710CFA"/>
    <w:rsid w:val="00712108"/>
    <w:rsid w:val="00712299"/>
    <w:rsid w:val="00712A4B"/>
    <w:rsid w:val="007130BC"/>
    <w:rsid w:val="0071339F"/>
    <w:rsid w:val="00713755"/>
    <w:rsid w:val="0071424E"/>
    <w:rsid w:val="007143A1"/>
    <w:rsid w:val="00715F00"/>
    <w:rsid w:val="007174DD"/>
    <w:rsid w:val="007179B5"/>
    <w:rsid w:val="00721D2C"/>
    <w:rsid w:val="007221B9"/>
    <w:rsid w:val="00722602"/>
    <w:rsid w:val="007226F3"/>
    <w:rsid w:val="00722A35"/>
    <w:rsid w:val="00722E3C"/>
    <w:rsid w:val="00723684"/>
    <w:rsid w:val="00723D5C"/>
    <w:rsid w:val="0072454E"/>
    <w:rsid w:val="007249F2"/>
    <w:rsid w:val="00724DDE"/>
    <w:rsid w:val="007261D7"/>
    <w:rsid w:val="007270FB"/>
    <w:rsid w:val="00727AA7"/>
    <w:rsid w:val="00730B6F"/>
    <w:rsid w:val="00731381"/>
    <w:rsid w:val="00732438"/>
    <w:rsid w:val="007328A3"/>
    <w:rsid w:val="00732CEC"/>
    <w:rsid w:val="0073427A"/>
    <w:rsid w:val="00734404"/>
    <w:rsid w:val="0073455F"/>
    <w:rsid w:val="00734C60"/>
    <w:rsid w:val="00734F92"/>
    <w:rsid w:val="007355E3"/>
    <w:rsid w:val="00736641"/>
    <w:rsid w:val="00736C03"/>
    <w:rsid w:val="0073782B"/>
    <w:rsid w:val="00741DE4"/>
    <w:rsid w:val="00742295"/>
    <w:rsid w:val="00742EA3"/>
    <w:rsid w:val="007433A8"/>
    <w:rsid w:val="00743A7F"/>
    <w:rsid w:val="00743C5B"/>
    <w:rsid w:val="00744192"/>
    <w:rsid w:val="00744BE8"/>
    <w:rsid w:val="0074540A"/>
    <w:rsid w:val="00745E09"/>
    <w:rsid w:val="0074655D"/>
    <w:rsid w:val="00746930"/>
    <w:rsid w:val="00746DE5"/>
    <w:rsid w:val="0074772E"/>
    <w:rsid w:val="00750B9F"/>
    <w:rsid w:val="0075263E"/>
    <w:rsid w:val="007533CC"/>
    <w:rsid w:val="00753E61"/>
    <w:rsid w:val="00754A1B"/>
    <w:rsid w:val="00754AD5"/>
    <w:rsid w:val="00755178"/>
    <w:rsid w:val="007553ED"/>
    <w:rsid w:val="00757906"/>
    <w:rsid w:val="00761354"/>
    <w:rsid w:val="0076187B"/>
    <w:rsid w:val="00762E98"/>
    <w:rsid w:val="007638EB"/>
    <w:rsid w:val="00764612"/>
    <w:rsid w:val="00766132"/>
    <w:rsid w:val="00766559"/>
    <w:rsid w:val="007666BA"/>
    <w:rsid w:val="0077049A"/>
    <w:rsid w:val="00770B81"/>
    <w:rsid w:val="00771C26"/>
    <w:rsid w:val="00771C90"/>
    <w:rsid w:val="007723CE"/>
    <w:rsid w:val="007725C3"/>
    <w:rsid w:val="007737E0"/>
    <w:rsid w:val="00773A89"/>
    <w:rsid w:val="00773C72"/>
    <w:rsid w:val="00773D7F"/>
    <w:rsid w:val="00774840"/>
    <w:rsid w:val="00774A6C"/>
    <w:rsid w:val="00774C88"/>
    <w:rsid w:val="00774CEF"/>
    <w:rsid w:val="007757BA"/>
    <w:rsid w:val="00777DD5"/>
    <w:rsid w:val="00777E71"/>
    <w:rsid w:val="0078077D"/>
    <w:rsid w:val="00780B68"/>
    <w:rsid w:val="00780B6C"/>
    <w:rsid w:val="00780CAE"/>
    <w:rsid w:val="00780E9B"/>
    <w:rsid w:val="00782082"/>
    <w:rsid w:val="00782851"/>
    <w:rsid w:val="00782856"/>
    <w:rsid w:val="007836ED"/>
    <w:rsid w:val="00783B50"/>
    <w:rsid w:val="00785EA1"/>
    <w:rsid w:val="00786046"/>
    <w:rsid w:val="007863CC"/>
    <w:rsid w:val="00786A84"/>
    <w:rsid w:val="00786BD3"/>
    <w:rsid w:val="007879FA"/>
    <w:rsid w:val="0079034F"/>
    <w:rsid w:val="007909D0"/>
    <w:rsid w:val="00790A9D"/>
    <w:rsid w:val="00791593"/>
    <w:rsid w:val="007917FB"/>
    <w:rsid w:val="00791953"/>
    <w:rsid w:val="00791D1D"/>
    <w:rsid w:val="007921AD"/>
    <w:rsid w:val="0079248B"/>
    <w:rsid w:val="00792F44"/>
    <w:rsid w:val="0079324E"/>
    <w:rsid w:val="007949DA"/>
    <w:rsid w:val="00796054"/>
    <w:rsid w:val="007964C6"/>
    <w:rsid w:val="00796578"/>
    <w:rsid w:val="0079675C"/>
    <w:rsid w:val="007968AD"/>
    <w:rsid w:val="00797165"/>
    <w:rsid w:val="007972EF"/>
    <w:rsid w:val="0079761E"/>
    <w:rsid w:val="00797881"/>
    <w:rsid w:val="00797F0E"/>
    <w:rsid w:val="007A084D"/>
    <w:rsid w:val="007A0F2F"/>
    <w:rsid w:val="007A2004"/>
    <w:rsid w:val="007A3059"/>
    <w:rsid w:val="007A3AD0"/>
    <w:rsid w:val="007A41A4"/>
    <w:rsid w:val="007A452D"/>
    <w:rsid w:val="007A4E3A"/>
    <w:rsid w:val="007A57AB"/>
    <w:rsid w:val="007A5FA3"/>
    <w:rsid w:val="007A657F"/>
    <w:rsid w:val="007A685F"/>
    <w:rsid w:val="007A6D5E"/>
    <w:rsid w:val="007A71F0"/>
    <w:rsid w:val="007A78B1"/>
    <w:rsid w:val="007A7E96"/>
    <w:rsid w:val="007B0C53"/>
    <w:rsid w:val="007B172B"/>
    <w:rsid w:val="007B2FE0"/>
    <w:rsid w:val="007B3432"/>
    <w:rsid w:val="007B3BB6"/>
    <w:rsid w:val="007B464B"/>
    <w:rsid w:val="007B58B1"/>
    <w:rsid w:val="007B5E19"/>
    <w:rsid w:val="007B6633"/>
    <w:rsid w:val="007B6658"/>
    <w:rsid w:val="007B6C43"/>
    <w:rsid w:val="007B724C"/>
    <w:rsid w:val="007B7D0C"/>
    <w:rsid w:val="007B7FAD"/>
    <w:rsid w:val="007C0F79"/>
    <w:rsid w:val="007C2898"/>
    <w:rsid w:val="007C3B60"/>
    <w:rsid w:val="007C4603"/>
    <w:rsid w:val="007C5FEB"/>
    <w:rsid w:val="007D071F"/>
    <w:rsid w:val="007D094B"/>
    <w:rsid w:val="007D0C8D"/>
    <w:rsid w:val="007D203B"/>
    <w:rsid w:val="007D2FD6"/>
    <w:rsid w:val="007D3291"/>
    <w:rsid w:val="007D336D"/>
    <w:rsid w:val="007D3469"/>
    <w:rsid w:val="007D3867"/>
    <w:rsid w:val="007D3942"/>
    <w:rsid w:val="007D3E0D"/>
    <w:rsid w:val="007D487F"/>
    <w:rsid w:val="007D5719"/>
    <w:rsid w:val="007D5A5A"/>
    <w:rsid w:val="007D602B"/>
    <w:rsid w:val="007D636F"/>
    <w:rsid w:val="007D664C"/>
    <w:rsid w:val="007E0B75"/>
    <w:rsid w:val="007E1439"/>
    <w:rsid w:val="007E152F"/>
    <w:rsid w:val="007E2A50"/>
    <w:rsid w:val="007E3337"/>
    <w:rsid w:val="007E4008"/>
    <w:rsid w:val="007E446F"/>
    <w:rsid w:val="007E531F"/>
    <w:rsid w:val="007E5C69"/>
    <w:rsid w:val="007E5E30"/>
    <w:rsid w:val="007E6A9E"/>
    <w:rsid w:val="007E7203"/>
    <w:rsid w:val="007E7CE9"/>
    <w:rsid w:val="007F1FB3"/>
    <w:rsid w:val="007F25C8"/>
    <w:rsid w:val="007F3748"/>
    <w:rsid w:val="007F38B8"/>
    <w:rsid w:val="007F3D40"/>
    <w:rsid w:val="007F40DB"/>
    <w:rsid w:val="007F4F0C"/>
    <w:rsid w:val="007F551A"/>
    <w:rsid w:val="007F5B71"/>
    <w:rsid w:val="007F78DE"/>
    <w:rsid w:val="007F7CBB"/>
    <w:rsid w:val="007F7D9D"/>
    <w:rsid w:val="00800CA9"/>
    <w:rsid w:val="00804007"/>
    <w:rsid w:val="00804065"/>
    <w:rsid w:val="0080483F"/>
    <w:rsid w:val="008055EF"/>
    <w:rsid w:val="008057A3"/>
    <w:rsid w:val="00806656"/>
    <w:rsid w:val="00807296"/>
    <w:rsid w:val="008075B7"/>
    <w:rsid w:val="00807767"/>
    <w:rsid w:val="00807A9F"/>
    <w:rsid w:val="008104BA"/>
    <w:rsid w:val="00810DCF"/>
    <w:rsid w:val="008116A1"/>
    <w:rsid w:val="00811DD3"/>
    <w:rsid w:val="008141BC"/>
    <w:rsid w:val="008143B8"/>
    <w:rsid w:val="0081639D"/>
    <w:rsid w:val="00816478"/>
    <w:rsid w:val="00816BE4"/>
    <w:rsid w:val="0081767E"/>
    <w:rsid w:val="00817FD4"/>
    <w:rsid w:val="00820B0B"/>
    <w:rsid w:val="00820E2E"/>
    <w:rsid w:val="00821204"/>
    <w:rsid w:val="00821ADD"/>
    <w:rsid w:val="008230F2"/>
    <w:rsid w:val="00823250"/>
    <w:rsid w:val="00823458"/>
    <w:rsid w:val="008244FC"/>
    <w:rsid w:val="008255F6"/>
    <w:rsid w:val="008258BD"/>
    <w:rsid w:val="00826EB2"/>
    <w:rsid w:val="00827860"/>
    <w:rsid w:val="008303D8"/>
    <w:rsid w:val="0083094F"/>
    <w:rsid w:val="008319B2"/>
    <w:rsid w:val="00832081"/>
    <w:rsid w:val="00832BEB"/>
    <w:rsid w:val="00832D5D"/>
    <w:rsid w:val="0083534D"/>
    <w:rsid w:val="00835B64"/>
    <w:rsid w:val="00835C18"/>
    <w:rsid w:val="00837546"/>
    <w:rsid w:val="00837CE2"/>
    <w:rsid w:val="00841551"/>
    <w:rsid w:val="008418E4"/>
    <w:rsid w:val="00841EB0"/>
    <w:rsid w:val="00842279"/>
    <w:rsid w:val="00843008"/>
    <w:rsid w:val="008431D4"/>
    <w:rsid w:val="008435F3"/>
    <w:rsid w:val="00843722"/>
    <w:rsid w:val="008442F1"/>
    <w:rsid w:val="00844584"/>
    <w:rsid w:val="00844C1C"/>
    <w:rsid w:val="00845E4E"/>
    <w:rsid w:val="0084774C"/>
    <w:rsid w:val="008477F0"/>
    <w:rsid w:val="008506A0"/>
    <w:rsid w:val="0085124D"/>
    <w:rsid w:val="00852249"/>
    <w:rsid w:val="00852883"/>
    <w:rsid w:val="008529A4"/>
    <w:rsid w:val="00852A14"/>
    <w:rsid w:val="008530B1"/>
    <w:rsid w:val="00853E53"/>
    <w:rsid w:val="008565C6"/>
    <w:rsid w:val="008568B6"/>
    <w:rsid w:val="00857443"/>
    <w:rsid w:val="0085767E"/>
    <w:rsid w:val="0085769B"/>
    <w:rsid w:val="0086049C"/>
    <w:rsid w:val="00862399"/>
    <w:rsid w:val="008633D1"/>
    <w:rsid w:val="00863B0B"/>
    <w:rsid w:val="00863EE0"/>
    <w:rsid w:val="00864035"/>
    <w:rsid w:val="008647B7"/>
    <w:rsid w:val="00865863"/>
    <w:rsid w:val="00865D42"/>
    <w:rsid w:val="008666BE"/>
    <w:rsid w:val="00867210"/>
    <w:rsid w:val="008675D8"/>
    <w:rsid w:val="00870BA1"/>
    <w:rsid w:val="0087188F"/>
    <w:rsid w:val="00871A3B"/>
    <w:rsid w:val="00872E1D"/>
    <w:rsid w:val="008730FC"/>
    <w:rsid w:val="008730FE"/>
    <w:rsid w:val="0087401C"/>
    <w:rsid w:val="008758CB"/>
    <w:rsid w:val="0087592B"/>
    <w:rsid w:val="00875E3D"/>
    <w:rsid w:val="00876858"/>
    <w:rsid w:val="00876A74"/>
    <w:rsid w:val="00876D50"/>
    <w:rsid w:val="00876DBF"/>
    <w:rsid w:val="00877522"/>
    <w:rsid w:val="0087771F"/>
    <w:rsid w:val="008808A6"/>
    <w:rsid w:val="00880EF8"/>
    <w:rsid w:val="0088173C"/>
    <w:rsid w:val="00882333"/>
    <w:rsid w:val="00882723"/>
    <w:rsid w:val="00882A58"/>
    <w:rsid w:val="00882C22"/>
    <w:rsid w:val="008830A1"/>
    <w:rsid w:val="00883868"/>
    <w:rsid w:val="00884631"/>
    <w:rsid w:val="0088685D"/>
    <w:rsid w:val="0088755B"/>
    <w:rsid w:val="0089048C"/>
    <w:rsid w:val="00891D4F"/>
    <w:rsid w:val="00891EE5"/>
    <w:rsid w:val="008923BE"/>
    <w:rsid w:val="00893361"/>
    <w:rsid w:val="00894F10"/>
    <w:rsid w:val="00895BCA"/>
    <w:rsid w:val="00895F4A"/>
    <w:rsid w:val="008962AE"/>
    <w:rsid w:val="00896628"/>
    <w:rsid w:val="00897372"/>
    <w:rsid w:val="008A0809"/>
    <w:rsid w:val="008A08E1"/>
    <w:rsid w:val="008A1342"/>
    <w:rsid w:val="008A1B9A"/>
    <w:rsid w:val="008A242B"/>
    <w:rsid w:val="008A3AE0"/>
    <w:rsid w:val="008A3E11"/>
    <w:rsid w:val="008A538B"/>
    <w:rsid w:val="008A543D"/>
    <w:rsid w:val="008A62A9"/>
    <w:rsid w:val="008A68CC"/>
    <w:rsid w:val="008A6A5C"/>
    <w:rsid w:val="008A7942"/>
    <w:rsid w:val="008B0169"/>
    <w:rsid w:val="008B03E9"/>
    <w:rsid w:val="008B0760"/>
    <w:rsid w:val="008B1207"/>
    <w:rsid w:val="008B16E5"/>
    <w:rsid w:val="008B1CF0"/>
    <w:rsid w:val="008B4375"/>
    <w:rsid w:val="008B4F59"/>
    <w:rsid w:val="008C168D"/>
    <w:rsid w:val="008C216D"/>
    <w:rsid w:val="008C2364"/>
    <w:rsid w:val="008C2587"/>
    <w:rsid w:val="008C2620"/>
    <w:rsid w:val="008C3907"/>
    <w:rsid w:val="008C431A"/>
    <w:rsid w:val="008C44B4"/>
    <w:rsid w:val="008C5E06"/>
    <w:rsid w:val="008C672D"/>
    <w:rsid w:val="008C7115"/>
    <w:rsid w:val="008D1344"/>
    <w:rsid w:val="008D23FF"/>
    <w:rsid w:val="008D36D0"/>
    <w:rsid w:val="008D3F20"/>
    <w:rsid w:val="008D3FD4"/>
    <w:rsid w:val="008D42B7"/>
    <w:rsid w:val="008D5100"/>
    <w:rsid w:val="008D5598"/>
    <w:rsid w:val="008D602A"/>
    <w:rsid w:val="008D66FC"/>
    <w:rsid w:val="008D6B94"/>
    <w:rsid w:val="008D6B9B"/>
    <w:rsid w:val="008D6FC2"/>
    <w:rsid w:val="008D7063"/>
    <w:rsid w:val="008D7BD6"/>
    <w:rsid w:val="008E064F"/>
    <w:rsid w:val="008E0DB2"/>
    <w:rsid w:val="008E0DB8"/>
    <w:rsid w:val="008E1E56"/>
    <w:rsid w:val="008E2888"/>
    <w:rsid w:val="008E2D4B"/>
    <w:rsid w:val="008E38D5"/>
    <w:rsid w:val="008E38FA"/>
    <w:rsid w:val="008E3A1B"/>
    <w:rsid w:val="008E4029"/>
    <w:rsid w:val="008E5527"/>
    <w:rsid w:val="008E59E3"/>
    <w:rsid w:val="008E5EB9"/>
    <w:rsid w:val="008E6232"/>
    <w:rsid w:val="008E6F13"/>
    <w:rsid w:val="008E6F17"/>
    <w:rsid w:val="008E7CB5"/>
    <w:rsid w:val="008F00A5"/>
    <w:rsid w:val="008F0191"/>
    <w:rsid w:val="008F02D3"/>
    <w:rsid w:val="008F0376"/>
    <w:rsid w:val="008F067E"/>
    <w:rsid w:val="008F0900"/>
    <w:rsid w:val="008F12D4"/>
    <w:rsid w:val="008F136A"/>
    <w:rsid w:val="008F253C"/>
    <w:rsid w:val="008F317E"/>
    <w:rsid w:val="008F3286"/>
    <w:rsid w:val="008F3E3F"/>
    <w:rsid w:val="008F4228"/>
    <w:rsid w:val="008F4943"/>
    <w:rsid w:val="008F546D"/>
    <w:rsid w:val="008F5491"/>
    <w:rsid w:val="008F6F5D"/>
    <w:rsid w:val="008F7B30"/>
    <w:rsid w:val="008F7D6E"/>
    <w:rsid w:val="00900985"/>
    <w:rsid w:val="009010A3"/>
    <w:rsid w:val="00901239"/>
    <w:rsid w:val="0090140F"/>
    <w:rsid w:val="00902247"/>
    <w:rsid w:val="00904194"/>
    <w:rsid w:val="009056B0"/>
    <w:rsid w:val="0090592F"/>
    <w:rsid w:val="00905ED8"/>
    <w:rsid w:val="009068A3"/>
    <w:rsid w:val="00906E49"/>
    <w:rsid w:val="00910074"/>
    <w:rsid w:val="009113CA"/>
    <w:rsid w:val="00911876"/>
    <w:rsid w:val="00911DA1"/>
    <w:rsid w:val="0091274A"/>
    <w:rsid w:val="00912A3D"/>
    <w:rsid w:val="00912D74"/>
    <w:rsid w:val="009136E3"/>
    <w:rsid w:val="009137FC"/>
    <w:rsid w:val="009163A7"/>
    <w:rsid w:val="009163AD"/>
    <w:rsid w:val="00916482"/>
    <w:rsid w:val="00916492"/>
    <w:rsid w:val="00916A80"/>
    <w:rsid w:val="00917174"/>
    <w:rsid w:val="00917467"/>
    <w:rsid w:val="0091753E"/>
    <w:rsid w:val="00920598"/>
    <w:rsid w:val="00920CBA"/>
    <w:rsid w:val="00921015"/>
    <w:rsid w:val="009226EB"/>
    <w:rsid w:val="009232B1"/>
    <w:rsid w:val="00923E1B"/>
    <w:rsid w:val="0092449B"/>
    <w:rsid w:val="00924541"/>
    <w:rsid w:val="009245E6"/>
    <w:rsid w:val="00924C42"/>
    <w:rsid w:val="00925B84"/>
    <w:rsid w:val="00925CE7"/>
    <w:rsid w:val="00926A1C"/>
    <w:rsid w:val="00926EE1"/>
    <w:rsid w:val="0092740A"/>
    <w:rsid w:val="00927872"/>
    <w:rsid w:val="00927CA8"/>
    <w:rsid w:val="00930638"/>
    <w:rsid w:val="00930F89"/>
    <w:rsid w:val="0093157E"/>
    <w:rsid w:val="00931939"/>
    <w:rsid w:val="009319D7"/>
    <w:rsid w:val="00931AA9"/>
    <w:rsid w:val="00931C72"/>
    <w:rsid w:val="00932960"/>
    <w:rsid w:val="00932D1A"/>
    <w:rsid w:val="00933525"/>
    <w:rsid w:val="00934A6D"/>
    <w:rsid w:val="00934F22"/>
    <w:rsid w:val="00935E17"/>
    <w:rsid w:val="0093687A"/>
    <w:rsid w:val="009368EE"/>
    <w:rsid w:val="00937BF0"/>
    <w:rsid w:val="009400FD"/>
    <w:rsid w:val="00940234"/>
    <w:rsid w:val="00940827"/>
    <w:rsid w:val="00940FDE"/>
    <w:rsid w:val="00941053"/>
    <w:rsid w:val="0094211D"/>
    <w:rsid w:val="009428CA"/>
    <w:rsid w:val="0094317A"/>
    <w:rsid w:val="00943575"/>
    <w:rsid w:val="009436A5"/>
    <w:rsid w:val="00944301"/>
    <w:rsid w:val="0094433F"/>
    <w:rsid w:val="00944437"/>
    <w:rsid w:val="00944D03"/>
    <w:rsid w:val="0094544E"/>
    <w:rsid w:val="009456BE"/>
    <w:rsid w:val="00946C45"/>
    <w:rsid w:val="00947180"/>
    <w:rsid w:val="00947B39"/>
    <w:rsid w:val="00947F55"/>
    <w:rsid w:val="00950557"/>
    <w:rsid w:val="009529DF"/>
    <w:rsid w:val="00952CC7"/>
    <w:rsid w:val="009534D8"/>
    <w:rsid w:val="00954374"/>
    <w:rsid w:val="0095468A"/>
    <w:rsid w:val="009547A7"/>
    <w:rsid w:val="00956D66"/>
    <w:rsid w:val="0095728F"/>
    <w:rsid w:val="00957596"/>
    <w:rsid w:val="0096007E"/>
    <w:rsid w:val="0096027A"/>
    <w:rsid w:val="0096114F"/>
    <w:rsid w:val="0096273C"/>
    <w:rsid w:val="009631CB"/>
    <w:rsid w:val="0096345D"/>
    <w:rsid w:val="00963DDE"/>
    <w:rsid w:val="00964BF2"/>
    <w:rsid w:val="009656F9"/>
    <w:rsid w:val="00966298"/>
    <w:rsid w:val="009665CA"/>
    <w:rsid w:val="0096661C"/>
    <w:rsid w:val="00966B8C"/>
    <w:rsid w:val="00966D21"/>
    <w:rsid w:val="00967AA7"/>
    <w:rsid w:val="00967B7D"/>
    <w:rsid w:val="00971C90"/>
    <w:rsid w:val="0097373F"/>
    <w:rsid w:val="00974366"/>
    <w:rsid w:val="00974D5C"/>
    <w:rsid w:val="00974F07"/>
    <w:rsid w:val="00975AA1"/>
    <w:rsid w:val="009768E9"/>
    <w:rsid w:val="00976B7D"/>
    <w:rsid w:val="00976DA0"/>
    <w:rsid w:val="00981800"/>
    <w:rsid w:val="00981948"/>
    <w:rsid w:val="00981C55"/>
    <w:rsid w:val="00982392"/>
    <w:rsid w:val="00983CDB"/>
    <w:rsid w:val="00983FDF"/>
    <w:rsid w:val="0098422F"/>
    <w:rsid w:val="0098482D"/>
    <w:rsid w:val="00984935"/>
    <w:rsid w:val="00984BF3"/>
    <w:rsid w:val="009850D3"/>
    <w:rsid w:val="00985691"/>
    <w:rsid w:val="0098611C"/>
    <w:rsid w:val="0098695A"/>
    <w:rsid w:val="00986A6F"/>
    <w:rsid w:val="009874CB"/>
    <w:rsid w:val="00991728"/>
    <w:rsid w:val="00992893"/>
    <w:rsid w:val="00992B7E"/>
    <w:rsid w:val="009931CD"/>
    <w:rsid w:val="0099416C"/>
    <w:rsid w:val="0099454B"/>
    <w:rsid w:val="00994999"/>
    <w:rsid w:val="00994C1D"/>
    <w:rsid w:val="00994D9D"/>
    <w:rsid w:val="009950F4"/>
    <w:rsid w:val="00996BAA"/>
    <w:rsid w:val="00996E76"/>
    <w:rsid w:val="00996FBF"/>
    <w:rsid w:val="009A1259"/>
    <w:rsid w:val="009A13B6"/>
    <w:rsid w:val="009A1C42"/>
    <w:rsid w:val="009A2470"/>
    <w:rsid w:val="009A2EE6"/>
    <w:rsid w:val="009A3261"/>
    <w:rsid w:val="009A35AC"/>
    <w:rsid w:val="009A36BA"/>
    <w:rsid w:val="009A43E9"/>
    <w:rsid w:val="009A4AFE"/>
    <w:rsid w:val="009A4BA3"/>
    <w:rsid w:val="009A4E5F"/>
    <w:rsid w:val="009A5111"/>
    <w:rsid w:val="009A519C"/>
    <w:rsid w:val="009A6DE7"/>
    <w:rsid w:val="009B175A"/>
    <w:rsid w:val="009B18A5"/>
    <w:rsid w:val="009B29F4"/>
    <w:rsid w:val="009B30CF"/>
    <w:rsid w:val="009B3294"/>
    <w:rsid w:val="009B415D"/>
    <w:rsid w:val="009B4DAB"/>
    <w:rsid w:val="009B5329"/>
    <w:rsid w:val="009B56AD"/>
    <w:rsid w:val="009B5BC3"/>
    <w:rsid w:val="009B772C"/>
    <w:rsid w:val="009B7EEA"/>
    <w:rsid w:val="009C02F1"/>
    <w:rsid w:val="009C0625"/>
    <w:rsid w:val="009C0FA1"/>
    <w:rsid w:val="009C1874"/>
    <w:rsid w:val="009C1C1F"/>
    <w:rsid w:val="009C2153"/>
    <w:rsid w:val="009C31F3"/>
    <w:rsid w:val="009C3DD1"/>
    <w:rsid w:val="009C4EBD"/>
    <w:rsid w:val="009C502F"/>
    <w:rsid w:val="009C62A2"/>
    <w:rsid w:val="009C641F"/>
    <w:rsid w:val="009C645E"/>
    <w:rsid w:val="009C7374"/>
    <w:rsid w:val="009C78F8"/>
    <w:rsid w:val="009D00E6"/>
    <w:rsid w:val="009D0A05"/>
    <w:rsid w:val="009D0FC7"/>
    <w:rsid w:val="009D155B"/>
    <w:rsid w:val="009D2443"/>
    <w:rsid w:val="009D24CE"/>
    <w:rsid w:val="009D319E"/>
    <w:rsid w:val="009D4165"/>
    <w:rsid w:val="009D466B"/>
    <w:rsid w:val="009D4E3D"/>
    <w:rsid w:val="009D5B18"/>
    <w:rsid w:val="009D5C4F"/>
    <w:rsid w:val="009D5E7D"/>
    <w:rsid w:val="009D6A62"/>
    <w:rsid w:val="009D75E5"/>
    <w:rsid w:val="009D769A"/>
    <w:rsid w:val="009D7C07"/>
    <w:rsid w:val="009E08D4"/>
    <w:rsid w:val="009E0ADB"/>
    <w:rsid w:val="009E1528"/>
    <w:rsid w:val="009E1FF2"/>
    <w:rsid w:val="009E2273"/>
    <w:rsid w:val="009E2832"/>
    <w:rsid w:val="009E325E"/>
    <w:rsid w:val="009E4E98"/>
    <w:rsid w:val="009E515C"/>
    <w:rsid w:val="009E63FA"/>
    <w:rsid w:val="009E6894"/>
    <w:rsid w:val="009E7EA6"/>
    <w:rsid w:val="009F111B"/>
    <w:rsid w:val="009F1534"/>
    <w:rsid w:val="009F163C"/>
    <w:rsid w:val="009F1ECA"/>
    <w:rsid w:val="009F2D6B"/>
    <w:rsid w:val="009F313C"/>
    <w:rsid w:val="009F3C2E"/>
    <w:rsid w:val="009F3FB8"/>
    <w:rsid w:val="009F5CB7"/>
    <w:rsid w:val="009F680B"/>
    <w:rsid w:val="009F75CD"/>
    <w:rsid w:val="009F788A"/>
    <w:rsid w:val="00A00687"/>
    <w:rsid w:val="00A00A0B"/>
    <w:rsid w:val="00A00B8B"/>
    <w:rsid w:val="00A01128"/>
    <w:rsid w:val="00A01A22"/>
    <w:rsid w:val="00A020E8"/>
    <w:rsid w:val="00A0227E"/>
    <w:rsid w:val="00A022BD"/>
    <w:rsid w:val="00A02751"/>
    <w:rsid w:val="00A034E0"/>
    <w:rsid w:val="00A03E79"/>
    <w:rsid w:val="00A047B9"/>
    <w:rsid w:val="00A05934"/>
    <w:rsid w:val="00A05AD8"/>
    <w:rsid w:val="00A06E60"/>
    <w:rsid w:val="00A0776A"/>
    <w:rsid w:val="00A10A3C"/>
    <w:rsid w:val="00A121F6"/>
    <w:rsid w:val="00A13A74"/>
    <w:rsid w:val="00A15AB7"/>
    <w:rsid w:val="00A1695A"/>
    <w:rsid w:val="00A173B1"/>
    <w:rsid w:val="00A176B3"/>
    <w:rsid w:val="00A17A6C"/>
    <w:rsid w:val="00A2033A"/>
    <w:rsid w:val="00A20A73"/>
    <w:rsid w:val="00A20AED"/>
    <w:rsid w:val="00A20D5C"/>
    <w:rsid w:val="00A21E0B"/>
    <w:rsid w:val="00A22E8B"/>
    <w:rsid w:val="00A233DE"/>
    <w:rsid w:val="00A24CA2"/>
    <w:rsid w:val="00A25793"/>
    <w:rsid w:val="00A25ABF"/>
    <w:rsid w:val="00A25B18"/>
    <w:rsid w:val="00A26A09"/>
    <w:rsid w:val="00A26DC2"/>
    <w:rsid w:val="00A30866"/>
    <w:rsid w:val="00A31444"/>
    <w:rsid w:val="00A3190B"/>
    <w:rsid w:val="00A31C65"/>
    <w:rsid w:val="00A322A4"/>
    <w:rsid w:val="00A328A3"/>
    <w:rsid w:val="00A32F80"/>
    <w:rsid w:val="00A33B0A"/>
    <w:rsid w:val="00A33D5B"/>
    <w:rsid w:val="00A33D9C"/>
    <w:rsid w:val="00A347B1"/>
    <w:rsid w:val="00A34831"/>
    <w:rsid w:val="00A348D1"/>
    <w:rsid w:val="00A367A7"/>
    <w:rsid w:val="00A36BCB"/>
    <w:rsid w:val="00A36CBB"/>
    <w:rsid w:val="00A36E3C"/>
    <w:rsid w:val="00A36EFB"/>
    <w:rsid w:val="00A37708"/>
    <w:rsid w:val="00A37FC3"/>
    <w:rsid w:val="00A40295"/>
    <w:rsid w:val="00A40959"/>
    <w:rsid w:val="00A40B40"/>
    <w:rsid w:val="00A41850"/>
    <w:rsid w:val="00A4216A"/>
    <w:rsid w:val="00A43121"/>
    <w:rsid w:val="00A43336"/>
    <w:rsid w:val="00A44AED"/>
    <w:rsid w:val="00A45424"/>
    <w:rsid w:val="00A45C04"/>
    <w:rsid w:val="00A463A4"/>
    <w:rsid w:val="00A50304"/>
    <w:rsid w:val="00A508AA"/>
    <w:rsid w:val="00A50DD0"/>
    <w:rsid w:val="00A51FCC"/>
    <w:rsid w:val="00A54043"/>
    <w:rsid w:val="00A5526C"/>
    <w:rsid w:val="00A55FC8"/>
    <w:rsid w:val="00A564D5"/>
    <w:rsid w:val="00A5703E"/>
    <w:rsid w:val="00A61FEC"/>
    <w:rsid w:val="00A62358"/>
    <w:rsid w:val="00A624CD"/>
    <w:rsid w:val="00A62AAB"/>
    <w:rsid w:val="00A62BBD"/>
    <w:rsid w:val="00A633D8"/>
    <w:rsid w:val="00A63779"/>
    <w:rsid w:val="00A63F68"/>
    <w:rsid w:val="00A648D0"/>
    <w:rsid w:val="00A64B0F"/>
    <w:rsid w:val="00A65DB6"/>
    <w:rsid w:val="00A67FF9"/>
    <w:rsid w:val="00A71021"/>
    <w:rsid w:val="00A72D81"/>
    <w:rsid w:val="00A72E09"/>
    <w:rsid w:val="00A7338F"/>
    <w:rsid w:val="00A7447E"/>
    <w:rsid w:val="00A74726"/>
    <w:rsid w:val="00A747F2"/>
    <w:rsid w:val="00A75335"/>
    <w:rsid w:val="00A755B6"/>
    <w:rsid w:val="00A756AC"/>
    <w:rsid w:val="00A76B2D"/>
    <w:rsid w:val="00A76F58"/>
    <w:rsid w:val="00A77CA5"/>
    <w:rsid w:val="00A77E7B"/>
    <w:rsid w:val="00A805DF"/>
    <w:rsid w:val="00A80B52"/>
    <w:rsid w:val="00A80CED"/>
    <w:rsid w:val="00A82070"/>
    <w:rsid w:val="00A82904"/>
    <w:rsid w:val="00A82AA3"/>
    <w:rsid w:val="00A82C45"/>
    <w:rsid w:val="00A82D54"/>
    <w:rsid w:val="00A84513"/>
    <w:rsid w:val="00A84E04"/>
    <w:rsid w:val="00A8590E"/>
    <w:rsid w:val="00A85FE9"/>
    <w:rsid w:val="00A867A2"/>
    <w:rsid w:val="00A87BBF"/>
    <w:rsid w:val="00A9013E"/>
    <w:rsid w:val="00A9084F"/>
    <w:rsid w:val="00A914A9"/>
    <w:rsid w:val="00A91743"/>
    <w:rsid w:val="00A91D27"/>
    <w:rsid w:val="00A91F47"/>
    <w:rsid w:val="00A922C9"/>
    <w:rsid w:val="00A92463"/>
    <w:rsid w:val="00A92AFC"/>
    <w:rsid w:val="00A92B6A"/>
    <w:rsid w:val="00A92D4B"/>
    <w:rsid w:val="00A92F05"/>
    <w:rsid w:val="00A93143"/>
    <w:rsid w:val="00A93D1F"/>
    <w:rsid w:val="00A93E4C"/>
    <w:rsid w:val="00A9485E"/>
    <w:rsid w:val="00A94EAE"/>
    <w:rsid w:val="00A9668A"/>
    <w:rsid w:val="00AA13FF"/>
    <w:rsid w:val="00AA28AC"/>
    <w:rsid w:val="00AA28FB"/>
    <w:rsid w:val="00AA482A"/>
    <w:rsid w:val="00AA48CD"/>
    <w:rsid w:val="00AA4ADB"/>
    <w:rsid w:val="00AA4F08"/>
    <w:rsid w:val="00AA50C4"/>
    <w:rsid w:val="00AA5AD4"/>
    <w:rsid w:val="00AA6308"/>
    <w:rsid w:val="00AA6628"/>
    <w:rsid w:val="00AA78AE"/>
    <w:rsid w:val="00AB06F3"/>
    <w:rsid w:val="00AB0D85"/>
    <w:rsid w:val="00AB0F7C"/>
    <w:rsid w:val="00AB17F1"/>
    <w:rsid w:val="00AB21BB"/>
    <w:rsid w:val="00AB225E"/>
    <w:rsid w:val="00AB2C9A"/>
    <w:rsid w:val="00AB3F89"/>
    <w:rsid w:val="00AB472B"/>
    <w:rsid w:val="00AB5A0E"/>
    <w:rsid w:val="00AB6306"/>
    <w:rsid w:val="00AB6402"/>
    <w:rsid w:val="00AB71D8"/>
    <w:rsid w:val="00AB7563"/>
    <w:rsid w:val="00AC0B70"/>
    <w:rsid w:val="00AC0BA6"/>
    <w:rsid w:val="00AC11D2"/>
    <w:rsid w:val="00AC18D3"/>
    <w:rsid w:val="00AC2E31"/>
    <w:rsid w:val="00AC3B28"/>
    <w:rsid w:val="00AC3E0E"/>
    <w:rsid w:val="00AC4108"/>
    <w:rsid w:val="00AC461F"/>
    <w:rsid w:val="00AC5628"/>
    <w:rsid w:val="00AC57B6"/>
    <w:rsid w:val="00AC6F33"/>
    <w:rsid w:val="00AC7030"/>
    <w:rsid w:val="00AD138E"/>
    <w:rsid w:val="00AD21D0"/>
    <w:rsid w:val="00AD21E4"/>
    <w:rsid w:val="00AD2967"/>
    <w:rsid w:val="00AD2CED"/>
    <w:rsid w:val="00AD33D7"/>
    <w:rsid w:val="00AD486C"/>
    <w:rsid w:val="00AD6EB4"/>
    <w:rsid w:val="00AD7465"/>
    <w:rsid w:val="00AD7762"/>
    <w:rsid w:val="00AE0273"/>
    <w:rsid w:val="00AE02DF"/>
    <w:rsid w:val="00AE0A1A"/>
    <w:rsid w:val="00AE0C75"/>
    <w:rsid w:val="00AE312A"/>
    <w:rsid w:val="00AE3297"/>
    <w:rsid w:val="00AE349D"/>
    <w:rsid w:val="00AE355C"/>
    <w:rsid w:val="00AE36CB"/>
    <w:rsid w:val="00AE3CB2"/>
    <w:rsid w:val="00AE4990"/>
    <w:rsid w:val="00AE6934"/>
    <w:rsid w:val="00AE6D7A"/>
    <w:rsid w:val="00AE6FA9"/>
    <w:rsid w:val="00AE771D"/>
    <w:rsid w:val="00AE7CCD"/>
    <w:rsid w:val="00AF026B"/>
    <w:rsid w:val="00AF0523"/>
    <w:rsid w:val="00AF0604"/>
    <w:rsid w:val="00AF20E7"/>
    <w:rsid w:val="00AF2EDA"/>
    <w:rsid w:val="00AF3901"/>
    <w:rsid w:val="00AF3EC4"/>
    <w:rsid w:val="00AF44C2"/>
    <w:rsid w:val="00AF4EC0"/>
    <w:rsid w:val="00AF54EF"/>
    <w:rsid w:val="00AF581E"/>
    <w:rsid w:val="00AF5B79"/>
    <w:rsid w:val="00AF6D90"/>
    <w:rsid w:val="00AF7834"/>
    <w:rsid w:val="00AF7C8E"/>
    <w:rsid w:val="00B0017B"/>
    <w:rsid w:val="00B00746"/>
    <w:rsid w:val="00B01617"/>
    <w:rsid w:val="00B01A2F"/>
    <w:rsid w:val="00B026B0"/>
    <w:rsid w:val="00B028E2"/>
    <w:rsid w:val="00B0326B"/>
    <w:rsid w:val="00B0361F"/>
    <w:rsid w:val="00B03625"/>
    <w:rsid w:val="00B03DD3"/>
    <w:rsid w:val="00B04B4C"/>
    <w:rsid w:val="00B07123"/>
    <w:rsid w:val="00B0747E"/>
    <w:rsid w:val="00B07EAF"/>
    <w:rsid w:val="00B10641"/>
    <w:rsid w:val="00B114DE"/>
    <w:rsid w:val="00B1165C"/>
    <w:rsid w:val="00B1283A"/>
    <w:rsid w:val="00B12F30"/>
    <w:rsid w:val="00B134CD"/>
    <w:rsid w:val="00B13DAC"/>
    <w:rsid w:val="00B14018"/>
    <w:rsid w:val="00B1537B"/>
    <w:rsid w:val="00B153A0"/>
    <w:rsid w:val="00B16215"/>
    <w:rsid w:val="00B1638D"/>
    <w:rsid w:val="00B16878"/>
    <w:rsid w:val="00B16FD1"/>
    <w:rsid w:val="00B207FC"/>
    <w:rsid w:val="00B21261"/>
    <w:rsid w:val="00B221DA"/>
    <w:rsid w:val="00B221FE"/>
    <w:rsid w:val="00B22379"/>
    <w:rsid w:val="00B234ED"/>
    <w:rsid w:val="00B2396D"/>
    <w:rsid w:val="00B2466B"/>
    <w:rsid w:val="00B24EE5"/>
    <w:rsid w:val="00B253DC"/>
    <w:rsid w:val="00B30352"/>
    <w:rsid w:val="00B309A9"/>
    <w:rsid w:val="00B30C66"/>
    <w:rsid w:val="00B318CF"/>
    <w:rsid w:val="00B32489"/>
    <w:rsid w:val="00B32BDA"/>
    <w:rsid w:val="00B32D72"/>
    <w:rsid w:val="00B33C13"/>
    <w:rsid w:val="00B34048"/>
    <w:rsid w:val="00B346B0"/>
    <w:rsid w:val="00B363BD"/>
    <w:rsid w:val="00B36591"/>
    <w:rsid w:val="00B378BB"/>
    <w:rsid w:val="00B37E6E"/>
    <w:rsid w:val="00B407E3"/>
    <w:rsid w:val="00B408E6"/>
    <w:rsid w:val="00B40F3A"/>
    <w:rsid w:val="00B4214E"/>
    <w:rsid w:val="00B42508"/>
    <w:rsid w:val="00B42509"/>
    <w:rsid w:val="00B437E8"/>
    <w:rsid w:val="00B43C94"/>
    <w:rsid w:val="00B43E47"/>
    <w:rsid w:val="00B44449"/>
    <w:rsid w:val="00B44B64"/>
    <w:rsid w:val="00B46106"/>
    <w:rsid w:val="00B4625F"/>
    <w:rsid w:val="00B464D2"/>
    <w:rsid w:val="00B47396"/>
    <w:rsid w:val="00B47B24"/>
    <w:rsid w:val="00B508CD"/>
    <w:rsid w:val="00B5174B"/>
    <w:rsid w:val="00B51E1F"/>
    <w:rsid w:val="00B5224C"/>
    <w:rsid w:val="00B52859"/>
    <w:rsid w:val="00B5287D"/>
    <w:rsid w:val="00B53077"/>
    <w:rsid w:val="00B53AE4"/>
    <w:rsid w:val="00B53DA8"/>
    <w:rsid w:val="00B53F3C"/>
    <w:rsid w:val="00B545CB"/>
    <w:rsid w:val="00B547E6"/>
    <w:rsid w:val="00B54874"/>
    <w:rsid w:val="00B54A27"/>
    <w:rsid w:val="00B56372"/>
    <w:rsid w:val="00B569F6"/>
    <w:rsid w:val="00B57AAA"/>
    <w:rsid w:val="00B57BD7"/>
    <w:rsid w:val="00B57CA4"/>
    <w:rsid w:val="00B57CDC"/>
    <w:rsid w:val="00B6011C"/>
    <w:rsid w:val="00B602DC"/>
    <w:rsid w:val="00B60863"/>
    <w:rsid w:val="00B6180C"/>
    <w:rsid w:val="00B62BB8"/>
    <w:rsid w:val="00B631CF"/>
    <w:rsid w:val="00B638D8"/>
    <w:rsid w:val="00B63A02"/>
    <w:rsid w:val="00B6450E"/>
    <w:rsid w:val="00B64580"/>
    <w:rsid w:val="00B652A0"/>
    <w:rsid w:val="00B65A8F"/>
    <w:rsid w:val="00B65C0A"/>
    <w:rsid w:val="00B65DC9"/>
    <w:rsid w:val="00B65E74"/>
    <w:rsid w:val="00B66847"/>
    <w:rsid w:val="00B66C66"/>
    <w:rsid w:val="00B66E13"/>
    <w:rsid w:val="00B70211"/>
    <w:rsid w:val="00B70AB8"/>
    <w:rsid w:val="00B70ABE"/>
    <w:rsid w:val="00B70CA9"/>
    <w:rsid w:val="00B7171C"/>
    <w:rsid w:val="00B71962"/>
    <w:rsid w:val="00B71C19"/>
    <w:rsid w:val="00B729FE"/>
    <w:rsid w:val="00B73CE6"/>
    <w:rsid w:val="00B7401D"/>
    <w:rsid w:val="00B74266"/>
    <w:rsid w:val="00B743F1"/>
    <w:rsid w:val="00B76F66"/>
    <w:rsid w:val="00B775C1"/>
    <w:rsid w:val="00B8088B"/>
    <w:rsid w:val="00B80E6D"/>
    <w:rsid w:val="00B81789"/>
    <w:rsid w:val="00B82676"/>
    <w:rsid w:val="00B82EEA"/>
    <w:rsid w:val="00B8358C"/>
    <w:rsid w:val="00B83644"/>
    <w:rsid w:val="00B84519"/>
    <w:rsid w:val="00B85CB1"/>
    <w:rsid w:val="00B85F3A"/>
    <w:rsid w:val="00B8653E"/>
    <w:rsid w:val="00B86901"/>
    <w:rsid w:val="00B86D0C"/>
    <w:rsid w:val="00B86F1A"/>
    <w:rsid w:val="00B8714A"/>
    <w:rsid w:val="00B902E6"/>
    <w:rsid w:val="00B90904"/>
    <w:rsid w:val="00B90DEC"/>
    <w:rsid w:val="00B910CD"/>
    <w:rsid w:val="00B910DB"/>
    <w:rsid w:val="00B9177C"/>
    <w:rsid w:val="00B92975"/>
    <w:rsid w:val="00B92C3E"/>
    <w:rsid w:val="00B92EC9"/>
    <w:rsid w:val="00B93A3D"/>
    <w:rsid w:val="00B9487D"/>
    <w:rsid w:val="00B94A7B"/>
    <w:rsid w:val="00B952CE"/>
    <w:rsid w:val="00B959AC"/>
    <w:rsid w:val="00B95FB0"/>
    <w:rsid w:val="00B96015"/>
    <w:rsid w:val="00B96155"/>
    <w:rsid w:val="00B9663A"/>
    <w:rsid w:val="00B966F0"/>
    <w:rsid w:val="00B97277"/>
    <w:rsid w:val="00BA0AFA"/>
    <w:rsid w:val="00BA1E9A"/>
    <w:rsid w:val="00BA20CB"/>
    <w:rsid w:val="00BA2334"/>
    <w:rsid w:val="00BA33EE"/>
    <w:rsid w:val="00BA35E2"/>
    <w:rsid w:val="00BA3C31"/>
    <w:rsid w:val="00BA591E"/>
    <w:rsid w:val="00BA690B"/>
    <w:rsid w:val="00BA760F"/>
    <w:rsid w:val="00BA7E83"/>
    <w:rsid w:val="00BB0A57"/>
    <w:rsid w:val="00BB19FA"/>
    <w:rsid w:val="00BB22D7"/>
    <w:rsid w:val="00BB26BF"/>
    <w:rsid w:val="00BB2C9B"/>
    <w:rsid w:val="00BB3EAB"/>
    <w:rsid w:val="00BB3EDC"/>
    <w:rsid w:val="00BB4DF2"/>
    <w:rsid w:val="00BB52F9"/>
    <w:rsid w:val="00BB682D"/>
    <w:rsid w:val="00BB6CA1"/>
    <w:rsid w:val="00BB76EA"/>
    <w:rsid w:val="00BB77C9"/>
    <w:rsid w:val="00BB7CBD"/>
    <w:rsid w:val="00BB7D62"/>
    <w:rsid w:val="00BC0DBF"/>
    <w:rsid w:val="00BC26B9"/>
    <w:rsid w:val="00BC327B"/>
    <w:rsid w:val="00BC4018"/>
    <w:rsid w:val="00BC40B4"/>
    <w:rsid w:val="00BC48DC"/>
    <w:rsid w:val="00BC4985"/>
    <w:rsid w:val="00BC557E"/>
    <w:rsid w:val="00BC6EE4"/>
    <w:rsid w:val="00BC7328"/>
    <w:rsid w:val="00BC734E"/>
    <w:rsid w:val="00BD00F0"/>
    <w:rsid w:val="00BD083D"/>
    <w:rsid w:val="00BD0883"/>
    <w:rsid w:val="00BD1128"/>
    <w:rsid w:val="00BD2828"/>
    <w:rsid w:val="00BD2F28"/>
    <w:rsid w:val="00BD355B"/>
    <w:rsid w:val="00BD4734"/>
    <w:rsid w:val="00BD504A"/>
    <w:rsid w:val="00BD66D0"/>
    <w:rsid w:val="00BD79E4"/>
    <w:rsid w:val="00BD7E23"/>
    <w:rsid w:val="00BE0756"/>
    <w:rsid w:val="00BE1C34"/>
    <w:rsid w:val="00BE2148"/>
    <w:rsid w:val="00BE2ECD"/>
    <w:rsid w:val="00BE43C2"/>
    <w:rsid w:val="00BE5417"/>
    <w:rsid w:val="00BE5F42"/>
    <w:rsid w:val="00BE5F95"/>
    <w:rsid w:val="00BE6646"/>
    <w:rsid w:val="00BE6F24"/>
    <w:rsid w:val="00BE75C2"/>
    <w:rsid w:val="00BE7A0C"/>
    <w:rsid w:val="00BF0299"/>
    <w:rsid w:val="00BF0E76"/>
    <w:rsid w:val="00BF0FCB"/>
    <w:rsid w:val="00BF11CC"/>
    <w:rsid w:val="00BF1BBE"/>
    <w:rsid w:val="00BF2E3B"/>
    <w:rsid w:val="00BF3EE2"/>
    <w:rsid w:val="00BF3FE6"/>
    <w:rsid w:val="00BF4DC3"/>
    <w:rsid w:val="00BF5324"/>
    <w:rsid w:val="00BF5A84"/>
    <w:rsid w:val="00BF6BCF"/>
    <w:rsid w:val="00BF7B00"/>
    <w:rsid w:val="00C0002C"/>
    <w:rsid w:val="00C005B8"/>
    <w:rsid w:val="00C018E1"/>
    <w:rsid w:val="00C02046"/>
    <w:rsid w:val="00C03110"/>
    <w:rsid w:val="00C03319"/>
    <w:rsid w:val="00C04D50"/>
    <w:rsid w:val="00C04F2F"/>
    <w:rsid w:val="00C0683C"/>
    <w:rsid w:val="00C07099"/>
    <w:rsid w:val="00C0789E"/>
    <w:rsid w:val="00C07B9F"/>
    <w:rsid w:val="00C111B3"/>
    <w:rsid w:val="00C11ECB"/>
    <w:rsid w:val="00C13B1E"/>
    <w:rsid w:val="00C154BA"/>
    <w:rsid w:val="00C1557B"/>
    <w:rsid w:val="00C15984"/>
    <w:rsid w:val="00C16681"/>
    <w:rsid w:val="00C16B83"/>
    <w:rsid w:val="00C174FF"/>
    <w:rsid w:val="00C17708"/>
    <w:rsid w:val="00C1785F"/>
    <w:rsid w:val="00C17A93"/>
    <w:rsid w:val="00C17C17"/>
    <w:rsid w:val="00C2002E"/>
    <w:rsid w:val="00C20419"/>
    <w:rsid w:val="00C207FB"/>
    <w:rsid w:val="00C20E29"/>
    <w:rsid w:val="00C21139"/>
    <w:rsid w:val="00C21413"/>
    <w:rsid w:val="00C225ED"/>
    <w:rsid w:val="00C22B86"/>
    <w:rsid w:val="00C22FD0"/>
    <w:rsid w:val="00C239A8"/>
    <w:rsid w:val="00C24BE0"/>
    <w:rsid w:val="00C27278"/>
    <w:rsid w:val="00C30C31"/>
    <w:rsid w:val="00C31EC6"/>
    <w:rsid w:val="00C320D8"/>
    <w:rsid w:val="00C32958"/>
    <w:rsid w:val="00C346A4"/>
    <w:rsid w:val="00C346D0"/>
    <w:rsid w:val="00C34C66"/>
    <w:rsid w:val="00C35C1F"/>
    <w:rsid w:val="00C36663"/>
    <w:rsid w:val="00C3700B"/>
    <w:rsid w:val="00C372AC"/>
    <w:rsid w:val="00C40BC9"/>
    <w:rsid w:val="00C425E6"/>
    <w:rsid w:val="00C42C1F"/>
    <w:rsid w:val="00C4363D"/>
    <w:rsid w:val="00C43C72"/>
    <w:rsid w:val="00C44789"/>
    <w:rsid w:val="00C45B2B"/>
    <w:rsid w:val="00C45CC7"/>
    <w:rsid w:val="00C469A4"/>
    <w:rsid w:val="00C470D3"/>
    <w:rsid w:val="00C50248"/>
    <w:rsid w:val="00C515CE"/>
    <w:rsid w:val="00C53014"/>
    <w:rsid w:val="00C539F1"/>
    <w:rsid w:val="00C53C34"/>
    <w:rsid w:val="00C54B8C"/>
    <w:rsid w:val="00C55684"/>
    <w:rsid w:val="00C556D7"/>
    <w:rsid w:val="00C56337"/>
    <w:rsid w:val="00C577D7"/>
    <w:rsid w:val="00C57ABE"/>
    <w:rsid w:val="00C613C0"/>
    <w:rsid w:val="00C6197D"/>
    <w:rsid w:val="00C628E4"/>
    <w:rsid w:val="00C630F2"/>
    <w:rsid w:val="00C63957"/>
    <w:rsid w:val="00C63CAD"/>
    <w:rsid w:val="00C649B1"/>
    <w:rsid w:val="00C64E8D"/>
    <w:rsid w:val="00C65B7F"/>
    <w:rsid w:val="00C65E41"/>
    <w:rsid w:val="00C670CF"/>
    <w:rsid w:val="00C672F4"/>
    <w:rsid w:val="00C673A7"/>
    <w:rsid w:val="00C67812"/>
    <w:rsid w:val="00C700FE"/>
    <w:rsid w:val="00C7031F"/>
    <w:rsid w:val="00C7172D"/>
    <w:rsid w:val="00C7176C"/>
    <w:rsid w:val="00C72EA3"/>
    <w:rsid w:val="00C737DC"/>
    <w:rsid w:val="00C73A6F"/>
    <w:rsid w:val="00C7491E"/>
    <w:rsid w:val="00C7523F"/>
    <w:rsid w:val="00C7585D"/>
    <w:rsid w:val="00C75890"/>
    <w:rsid w:val="00C759DE"/>
    <w:rsid w:val="00C75C18"/>
    <w:rsid w:val="00C767ED"/>
    <w:rsid w:val="00C76CE2"/>
    <w:rsid w:val="00C76F21"/>
    <w:rsid w:val="00C77671"/>
    <w:rsid w:val="00C77C51"/>
    <w:rsid w:val="00C8129E"/>
    <w:rsid w:val="00C81CAC"/>
    <w:rsid w:val="00C83F8E"/>
    <w:rsid w:val="00C853F9"/>
    <w:rsid w:val="00C85862"/>
    <w:rsid w:val="00C858F9"/>
    <w:rsid w:val="00C86477"/>
    <w:rsid w:val="00C873E4"/>
    <w:rsid w:val="00C87455"/>
    <w:rsid w:val="00C92B10"/>
    <w:rsid w:val="00C948CF"/>
    <w:rsid w:val="00C97D08"/>
    <w:rsid w:val="00CA0557"/>
    <w:rsid w:val="00CA0FE1"/>
    <w:rsid w:val="00CA18CC"/>
    <w:rsid w:val="00CA1BFC"/>
    <w:rsid w:val="00CA2381"/>
    <w:rsid w:val="00CA3372"/>
    <w:rsid w:val="00CA3543"/>
    <w:rsid w:val="00CA35E2"/>
    <w:rsid w:val="00CA3F5A"/>
    <w:rsid w:val="00CA55B0"/>
    <w:rsid w:val="00CA65A8"/>
    <w:rsid w:val="00CA6B01"/>
    <w:rsid w:val="00CA6CA9"/>
    <w:rsid w:val="00CA7638"/>
    <w:rsid w:val="00CA77A5"/>
    <w:rsid w:val="00CA7939"/>
    <w:rsid w:val="00CA7E2C"/>
    <w:rsid w:val="00CB01AF"/>
    <w:rsid w:val="00CB03B2"/>
    <w:rsid w:val="00CB08CD"/>
    <w:rsid w:val="00CB1A17"/>
    <w:rsid w:val="00CB2D67"/>
    <w:rsid w:val="00CB2ED6"/>
    <w:rsid w:val="00CB5177"/>
    <w:rsid w:val="00CB6370"/>
    <w:rsid w:val="00CB695F"/>
    <w:rsid w:val="00CB6BF8"/>
    <w:rsid w:val="00CB7A08"/>
    <w:rsid w:val="00CC0BD5"/>
    <w:rsid w:val="00CC122B"/>
    <w:rsid w:val="00CC1827"/>
    <w:rsid w:val="00CC1B62"/>
    <w:rsid w:val="00CC1F20"/>
    <w:rsid w:val="00CC2232"/>
    <w:rsid w:val="00CC3099"/>
    <w:rsid w:val="00CC426D"/>
    <w:rsid w:val="00CC4904"/>
    <w:rsid w:val="00CC509B"/>
    <w:rsid w:val="00CC5536"/>
    <w:rsid w:val="00CC57D3"/>
    <w:rsid w:val="00CC582D"/>
    <w:rsid w:val="00CC58AB"/>
    <w:rsid w:val="00CC5AC5"/>
    <w:rsid w:val="00CC5C33"/>
    <w:rsid w:val="00CC602E"/>
    <w:rsid w:val="00CC6CBA"/>
    <w:rsid w:val="00CC6F45"/>
    <w:rsid w:val="00CC7E8A"/>
    <w:rsid w:val="00CC7E9B"/>
    <w:rsid w:val="00CD0D5F"/>
    <w:rsid w:val="00CD0DC9"/>
    <w:rsid w:val="00CD0FFD"/>
    <w:rsid w:val="00CD1782"/>
    <w:rsid w:val="00CD1CF0"/>
    <w:rsid w:val="00CD3C2E"/>
    <w:rsid w:val="00CD3C58"/>
    <w:rsid w:val="00CD3E26"/>
    <w:rsid w:val="00CD46CB"/>
    <w:rsid w:val="00CD5A93"/>
    <w:rsid w:val="00CD5DE4"/>
    <w:rsid w:val="00CD5EAB"/>
    <w:rsid w:val="00CD6A98"/>
    <w:rsid w:val="00CE064D"/>
    <w:rsid w:val="00CE08D6"/>
    <w:rsid w:val="00CE120E"/>
    <w:rsid w:val="00CE15BB"/>
    <w:rsid w:val="00CE1B3F"/>
    <w:rsid w:val="00CE1C5A"/>
    <w:rsid w:val="00CE2164"/>
    <w:rsid w:val="00CE2C99"/>
    <w:rsid w:val="00CE2F6D"/>
    <w:rsid w:val="00CE3316"/>
    <w:rsid w:val="00CE4164"/>
    <w:rsid w:val="00CE4690"/>
    <w:rsid w:val="00CE4845"/>
    <w:rsid w:val="00CE5EC3"/>
    <w:rsid w:val="00CE61D5"/>
    <w:rsid w:val="00CF1504"/>
    <w:rsid w:val="00CF162A"/>
    <w:rsid w:val="00CF342E"/>
    <w:rsid w:val="00CF3522"/>
    <w:rsid w:val="00CF3C38"/>
    <w:rsid w:val="00CF3C43"/>
    <w:rsid w:val="00CF4E39"/>
    <w:rsid w:val="00CF5023"/>
    <w:rsid w:val="00CF50C3"/>
    <w:rsid w:val="00CF5BCC"/>
    <w:rsid w:val="00CF741A"/>
    <w:rsid w:val="00D0046A"/>
    <w:rsid w:val="00D00EA0"/>
    <w:rsid w:val="00D010FE"/>
    <w:rsid w:val="00D02125"/>
    <w:rsid w:val="00D0225A"/>
    <w:rsid w:val="00D024F6"/>
    <w:rsid w:val="00D030A4"/>
    <w:rsid w:val="00D03509"/>
    <w:rsid w:val="00D038E1"/>
    <w:rsid w:val="00D03E49"/>
    <w:rsid w:val="00D04DFE"/>
    <w:rsid w:val="00D04FA6"/>
    <w:rsid w:val="00D05573"/>
    <w:rsid w:val="00D06255"/>
    <w:rsid w:val="00D0657D"/>
    <w:rsid w:val="00D06F73"/>
    <w:rsid w:val="00D07FC5"/>
    <w:rsid w:val="00D10318"/>
    <w:rsid w:val="00D1061F"/>
    <w:rsid w:val="00D115DA"/>
    <w:rsid w:val="00D12178"/>
    <w:rsid w:val="00D124CF"/>
    <w:rsid w:val="00D126E6"/>
    <w:rsid w:val="00D13237"/>
    <w:rsid w:val="00D1329F"/>
    <w:rsid w:val="00D13B54"/>
    <w:rsid w:val="00D14887"/>
    <w:rsid w:val="00D16113"/>
    <w:rsid w:val="00D166A8"/>
    <w:rsid w:val="00D16B98"/>
    <w:rsid w:val="00D16C0D"/>
    <w:rsid w:val="00D16F78"/>
    <w:rsid w:val="00D20233"/>
    <w:rsid w:val="00D2073A"/>
    <w:rsid w:val="00D22CE5"/>
    <w:rsid w:val="00D22D83"/>
    <w:rsid w:val="00D234C0"/>
    <w:rsid w:val="00D23C35"/>
    <w:rsid w:val="00D2458E"/>
    <w:rsid w:val="00D25960"/>
    <w:rsid w:val="00D25AE7"/>
    <w:rsid w:val="00D262CD"/>
    <w:rsid w:val="00D26E80"/>
    <w:rsid w:val="00D30661"/>
    <w:rsid w:val="00D30F4B"/>
    <w:rsid w:val="00D31D0D"/>
    <w:rsid w:val="00D328A2"/>
    <w:rsid w:val="00D3309C"/>
    <w:rsid w:val="00D33295"/>
    <w:rsid w:val="00D3403B"/>
    <w:rsid w:val="00D35CF0"/>
    <w:rsid w:val="00D36898"/>
    <w:rsid w:val="00D36B93"/>
    <w:rsid w:val="00D36F2F"/>
    <w:rsid w:val="00D37CB0"/>
    <w:rsid w:val="00D409C6"/>
    <w:rsid w:val="00D41003"/>
    <w:rsid w:val="00D4165B"/>
    <w:rsid w:val="00D429EA"/>
    <w:rsid w:val="00D4427D"/>
    <w:rsid w:val="00D4452A"/>
    <w:rsid w:val="00D44F87"/>
    <w:rsid w:val="00D44FE6"/>
    <w:rsid w:val="00D456E4"/>
    <w:rsid w:val="00D4581C"/>
    <w:rsid w:val="00D458F4"/>
    <w:rsid w:val="00D45C47"/>
    <w:rsid w:val="00D46938"/>
    <w:rsid w:val="00D47A41"/>
    <w:rsid w:val="00D500A6"/>
    <w:rsid w:val="00D5010A"/>
    <w:rsid w:val="00D50764"/>
    <w:rsid w:val="00D51118"/>
    <w:rsid w:val="00D51FC5"/>
    <w:rsid w:val="00D52527"/>
    <w:rsid w:val="00D534D0"/>
    <w:rsid w:val="00D53B0A"/>
    <w:rsid w:val="00D545A7"/>
    <w:rsid w:val="00D54F76"/>
    <w:rsid w:val="00D5518D"/>
    <w:rsid w:val="00D601CD"/>
    <w:rsid w:val="00D60388"/>
    <w:rsid w:val="00D6075B"/>
    <w:rsid w:val="00D60EBB"/>
    <w:rsid w:val="00D61F93"/>
    <w:rsid w:val="00D62ECB"/>
    <w:rsid w:val="00D6327D"/>
    <w:rsid w:val="00D63B25"/>
    <w:rsid w:val="00D6535D"/>
    <w:rsid w:val="00D65DF1"/>
    <w:rsid w:val="00D66DC9"/>
    <w:rsid w:val="00D670BC"/>
    <w:rsid w:val="00D6746D"/>
    <w:rsid w:val="00D703E3"/>
    <w:rsid w:val="00D70D34"/>
    <w:rsid w:val="00D70E96"/>
    <w:rsid w:val="00D71361"/>
    <w:rsid w:val="00D715B1"/>
    <w:rsid w:val="00D716F5"/>
    <w:rsid w:val="00D7203D"/>
    <w:rsid w:val="00D726F0"/>
    <w:rsid w:val="00D72CD1"/>
    <w:rsid w:val="00D73300"/>
    <w:rsid w:val="00D7345E"/>
    <w:rsid w:val="00D73FF2"/>
    <w:rsid w:val="00D7446E"/>
    <w:rsid w:val="00D75B85"/>
    <w:rsid w:val="00D76D09"/>
    <w:rsid w:val="00D77588"/>
    <w:rsid w:val="00D778AA"/>
    <w:rsid w:val="00D8051A"/>
    <w:rsid w:val="00D81346"/>
    <w:rsid w:val="00D814EF"/>
    <w:rsid w:val="00D816C9"/>
    <w:rsid w:val="00D8172C"/>
    <w:rsid w:val="00D81B1A"/>
    <w:rsid w:val="00D81D1F"/>
    <w:rsid w:val="00D84BEC"/>
    <w:rsid w:val="00D86061"/>
    <w:rsid w:val="00D86A75"/>
    <w:rsid w:val="00D877C2"/>
    <w:rsid w:val="00D91F4A"/>
    <w:rsid w:val="00D9295A"/>
    <w:rsid w:val="00D9379F"/>
    <w:rsid w:val="00D93DE7"/>
    <w:rsid w:val="00D9574F"/>
    <w:rsid w:val="00D97185"/>
    <w:rsid w:val="00DA0189"/>
    <w:rsid w:val="00DA06FB"/>
    <w:rsid w:val="00DA1D2C"/>
    <w:rsid w:val="00DA2582"/>
    <w:rsid w:val="00DA26C0"/>
    <w:rsid w:val="00DA2978"/>
    <w:rsid w:val="00DA2A54"/>
    <w:rsid w:val="00DA2CF3"/>
    <w:rsid w:val="00DA2E43"/>
    <w:rsid w:val="00DA37F7"/>
    <w:rsid w:val="00DA3E87"/>
    <w:rsid w:val="00DA4918"/>
    <w:rsid w:val="00DA4B9D"/>
    <w:rsid w:val="00DA52F6"/>
    <w:rsid w:val="00DA55AA"/>
    <w:rsid w:val="00DA5875"/>
    <w:rsid w:val="00DA6B1D"/>
    <w:rsid w:val="00DA7471"/>
    <w:rsid w:val="00DA7DFE"/>
    <w:rsid w:val="00DB128B"/>
    <w:rsid w:val="00DB167D"/>
    <w:rsid w:val="00DB24A2"/>
    <w:rsid w:val="00DB2F02"/>
    <w:rsid w:val="00DB3785"/>
    <w:rsid w:val="00DB3EEE"/>
    <w:rsid w:val="00DB66D5"/>
    <w:rsid w:val="00DB675A"/>
    <w:rsid w:val="00DB76DB"/>
    <w:rsid w:val="00DB76FB"/>
    <w:rsid w:val="00DC0762"/>
    <w:rsid w:val="00DC1908"/>
    <w:rsid w:val="00DC1CF1"/>
    <w:rsid w:val="00DC2120"/>
    <w:rsid w:val="00DC3B75"/>
    <w:rsid w:val="00DC40A7"/>
    <w:rsid w:val="00DC4775"/>
    <w:rsid w:val="00DC4D63"/>
    <w:rsid w:val="00DC51EA"/>
    <w:rsid w:val="00DD0DBC"/>
    <w:rsid w:val="00DD197E"/>
    <w:rsid w:val="00DD29F7"/>
    <w:rsid w:val="00DD2B62"/>
    <w:rsid w:val="00DD309D"/>
    <w:rsid w:val="00DD4028"/>
    <w:rsid w:val="00DD44D6"/>
    <w:rsid w:val="00DD5479"/>
    <w:rsid w:val="00DD55DA"/>
    <w:rsid w:val="00DD6195"/>
    <w:rsid w:val="00DE1BE7"/>
    <w:rsid w:val="00DE26D1"/>
    <w:rsid w:val="00DE2AB6"/>
    <w:rsid w:val="00DE2ACD"/>
    <w:rsid w:val="00DE2B88"/>
    <w:rsid w:val="00DE31E7"/>
    <w:rsid w:val="00DE4541"/>
    <w:rsid w:val="00DE4E67"/>
    <w:rsid w:val="00DE54F7"/>
    <w:rsid w:val="00DE5CD9"/>
    <w:rsid w:val="00DE5EA1"/>
    <w:rsid w:val="00DE5FC0"/>
    <w:rsid w:val="00DE606B"/>
    <w:rsid w:val="00DE60A7"/>
    <w:rsid w:val="00DE6D97"/>
    <w:rsid w:val="00DE75C9"/>
    <w:rsid w:val="00DE7E08"/>
    <w:rsid w:val="00DE7E35"/>
    <w:rsid w:val="00DF0138"/>
    <w:rsid w:val="00DF0189"/>
    <w:rsid w:val="00DF2221"/>
    <w:rsid w:val="00DF229A"/>
    <w:rsid w:val="00DF2B38"/>
    <w:rsid w:val="00DF3072"/>
    <w:rsid w:val="00DF342D"/>
    <w:rsid w:val="00DF3645"/>
    <w:rsid w:val="00DF3B14"/>
    <w:rsid w:val="00DF41DB"/>
    <w:rsid w:val="00DF48B0"/>
    <w:rsid w:val="00DF5A82"/>
    <w:rsid w:val="00DF6057"/>
    <w:rsid w:val="00DF6292"/>
    <w:rsid w:val="00DF657E"/>
    <w:rsid w:val="00DF6C0D"/>
    <w:rsid w:val="00DF7346"/>
    <w:rsid w:val="00E00EA6"/>
    <w:rsid w:val="00E01515"/>
    <w:rsid w:val="00E02E7C"/>
    <w:rsid w:val="00E04B32"/>
    <w:rsid w:val="00E04EF8"/>
    <w:rsid w:val="00E04F03"/>
    <w:rsid w:val="00E050F0"/>
    <w:rsid w:val="00E0567B"/>
    <w:rsid w:val="00E05691"/>
    <w:rsid w:val="00E06606"/>
    <w:rsid w:val="00E076D9"/>
    <w:rsid w:val="00E07944"/>
    <w:rsid w:val="00E118B7"/>
    <w:rsid w:val="00E119CF"/>
    <w:rsid w:val="00E126A8"/>
    <w:rsid w:val="00E126D7"/>
    <w:rsid w:val="00E13880"/>
    <w:rsid w:val="00E13C4A"/>
    <w:rsid w:val="00E141AB"/>
    <w:rsid w:val="00E14D0B"/>
    <w:rsid w:val="00E15AB4"/>
    <w:rsid w:val="00E1622A"/>
    <w:rsid w:val="00E2065C"/>
    <w:rsid w:val="00E212BB"/>
    <w:rsid w:val="00E222E5"/>
    <w:rsid w:val="00E2247F"/>
    <w:rsid w:val="00E22858"/>
    <w:rsid w:val="00E2358B"/>
    <w:rsid w:val="00E235C9"/>
    <w:rsid w:val="00E24786"/>
    <w:rsid w:val="00E260A7"/>
    <w:rsid w:val="00E26630"/>
    <w:rsid w:val="00E269BC"/>
    <w:rsid w:val="00E27B67"/>
    <w:rsid w:val="00E30252"/>
    <w:rsid w:val="00E30CF3"/>
    <w:rsid w:val="00E3116B"/>
    <w:rsid w:val="00E312D7"/>
    <w:rsid w:val="00E31A5D"/>
    <w:rsid w:val="00E31D78"/>
    <w:rsid w:val="00E31DF2"/>
    <w:rsid w:val="00E31E74"/>
    <w:rsid w:val="00E31FF0"/>
    <w:rsid w:val="00E320A5"/>
    <w:rsid w:val="00E3355B"/>
    <w:rsid w:val="00E3371B"/>
    <w:rsid w:val="00E3380B"/>
    <w:rsid w:val="00E343BB"/>
    <w:rsid w:val="00E34538"/>
    <w:rsid w:val="00E349A4"/>
    <w:rsid w:val="00E40036"/>
    <w:rsid w:val="00E40082"/>
    <w:rsid w:val="00E44B95"/>
    <w:rsid w:val="00E453AA"/>
    <w:rsid w:val="00E45713"/>
    <w:rsid w:val="00E46E33"/>
    <w:rsid w:val="00E47407"/>
    <w:rsid w:val="00E4789A"/>
    <w:rsid w:val="00E512C0"/>
    <w:rsid w:val="00E513DA"/>
    <w:rsid w:val="00E51970"/>
    <w:rsid w:val="00E51C86"/>
    <w:rsid w:val="00E51FE2"/>
    <w:rsid w:val="00E521A5"/>
    <w:rsid w:val="00E5291D"/>
    <w:rsid w:val="00E52A9E"/>
    <w:rsid w:val="00E52EAB"/>
    <w:rsid w:val="00E54225"/>
    <w:rsid w:val="00E557B0"/>
    <w:rsid w:val="00E560DF"/>
    <w:rsid w:val="00E5698D"/>
    <w:rsid w:val="00E56BBE"/>
    <w:rsid w:val="00E56FCF"/>
    <w:rsid w:val="00E574B0"/>
    <w:rsid w:val="00E576D9"/>
    <w:rsid w:val="00E578C4"/>
    <w:rsid w:val="00E6011D"/>
    <w:rsid w:val="00E60570"/>
    <w:rsid w:val="00E60CCB"/>
    <w:rsid w:val="00E61319"/>
    <w:rsid w:val="00E61D28"/>
    <w:rsid w:val="00E62CCA"/>
    <w:rsid w:val="00E64283"/>
    <w:rsid w:val="00E645DB"/>
    <w:rsid w:val="00E64EAA"/>
    <w:rsid w:val="00E6606B"/>
    <w:rsid w:val="00E664C1"/>
    <w:rsid w:val="00E673AC"/>
    <w:rsid w:val="00E67A6D"/>
    <w:rsid w:val="00E70433"/>
    <w:rsid w:val="00E708C9"/>
    <w:rsid w:val="00E714C9"/>
    <w:rsid w:val="00E718DA"/>
    <w:rsid w:val="00E7195B"/>
    <w:rsid w:val="00E719DA"/>
    <w:rsid w:val="00E71A2D"/>
    <w:rsid w:val="00E71B18"/>
    <w:rsid w:val="00E72026"/>
    <w:rsid w:val="00E72051"/>
    <w:rsid w:val="00E720C9"/>
    <w:rsid w:val="00E721FC"/>
    <w:rsid w:val="00E735D3"/>
    <w:rsid w:val="00E73678"/>
    <w:rsid w:val="00E73BAC"/>
    <w:rsid w:val="00E74A76"/>
    <w:rsid w:val="00E75044"/>
    <w:rsid w:val="00E75895"/>
    <w:rsid w:val="00E75C67"/>
    <w:rsid w:val="00E75D0C"/>
    <w:rsid w:val="00E762C8"/>
    <w:rsid w:val="00E77159"/>
    <w:rsid w:val="00E77617"/>
    <w:rsid w:val="00E8008B"/>
    <w:rsid w:val="00E808A2"/>
    <w:rsid w:val="00E808C8"/>
    <w:rsid w:val="00E80E64"/>
    <w:rsid w:val="00E83050"/>
    <w:rsid w:val="00E833EA"/>
    <w:rsid w:val="00E84562"/>
    <w:rsid w:val="00E845DE"/>
    <w:rsid w:val="00E84FD1"/>
    <w:rsid w:val="00E85BCC"/>
    <w:rsid w:val="00E863CC"/>
    <w:rsid w:val="00E86697"/>
    <w:rsid w:val="00E871A8"/>
    <w:rsid w:val="00E8788F"/>
    <w:rsid w:val="00E87A2C"/>
    <w:rsid w:val="00E87F5E"/>
    <w:rsid w:val="00E90362"/>
    <w:rsid w:val="00E91501"/>
    <w:rsid w:val="00E91BDA"/>
    <w:rsid w:val="00E91ECA"/>
    <w:rsid w:val="00E92088"/>
    <w:rsid w:val="00E936E5"/>
    <w:rsid w:val="00E93B7A"/>
    <w:rsid w:val="00E94158"/>
    <w:rsid w:val="00E941A3"/>
    <w:rsid w:val="00E94A76"/>
    <w:rsid w:val="00E9554E"/>
    <w:rsid w:val="00E95A0C"/>
    <w:rsid w:val="00E95ABD"/>
    <w:rsid w:val="00EA0B44"/>
    <w:rsid w:val="00EA0C9C"/>
    <w:rsid w:val="00EA0D6A"/>
    <w:rsid w:val="00EA0F2F"/>
    <w:rsid w:val="00EA26E7"/>
    <w:rsid w:val="00EA2FD5"/>
    <w:rsid w:val="00EA3203"/>
    <w:rsid w:val="00EA37FB"/>
    <w:rsid w:val="00EA4F90"/>
    <w:rsid w:val="00EA522A"/>
    <w:rsid w:val="00EA5258"/>
    <w:rsid w:val="00EA629F"/>
    <w:rsid w:val="00EA62EC"/>
    <w:rsid w:val="00EA6900"/>
    <w:rsid w:val="00EA7D1E"/>
    <w:rsid w:val="00EB1D98"/>
    <w:rsid w:val="00EB20E3"/>
    <w:rsid w:val="00EB2676"/>
    <w:rsid w:val="00EB285D"/>
    <w:rsid w:val="00EB2925"/>
    <w:rsid w:val="00EB3093"/>
    <w:rsid w:val="00EB39D2"/>
    <w:rsid w:val="00EB43EE"/>
    <w:rsid w:val="00EB4737"/>
    <w:rsid w:val="00EB48C1"/>
    <w:rsid w:val="00EB4E3F"/>
    <w:rsid w:val="00EB557C"/>
    <w:rsid w:val="00EB6469"/>
    <w:rsid w:val="00EB6E48"/>
    <w:rsid w:val="00EC0597"/>
    <w:rsid w:val="00EC1292"/>
    <w:rsid w:val="00EC1DF5"/>
    <w:rsid w:val="00EC30B7"/>
    <w:rsid w:val="00EC3610"/>
    <w:rsid w:val="00EC3B53"/>
    <w:rsid w:val="00EC3E93"/>
    <w:rsid w:val="00EC504A"/>
    <w:rsid w:val="00ED01F0"/>
    <w:rsid w:val="00ED0ABA"/>
    <w:rsid w:val="00ED0D7A"/>
    <w:rsid w:val="00ED0D93"/>
    <w:rsid w:val="00ED2427"/>
    <w:rsid w:val="00ED2797"/>
    <w:rsid w:val="00ED2CBA"/>
    <w:rsid w:val="00ED3B45"/>
    <w:rsid w:val="00ED488B"/>
    <w:rsid w:val="00ED5067"/>
    <w:rsid w:val="00ED5506"/>
    <w:rsid w:val="00ED6E69"/>
    <w:rsid w:val="00ED7706"/>
    <w:rsid w:val="00ED7B25"/>
    <w:rsid w:val="00EE03A2"/>
    <w:rsid w:val="00EE03E4"/>
    <w:rsid w:val="00EE08C5"/>
    <w:rsid w:val="00EE1AE9"/>
    <w:rsid w:val="00EE2176"/>
    <w:rsid w:val="00EE2C95"/>
    <w:rsid w:val="00EE364E"/>
    <w:rsid w:val="00EE443A"/>
    <w:rsid w:val="00EE44E0"/>
    <w:rsid w:val="00EE45E2"/>
    <w:rsid w:val="00EE4706"/>
    <w:rsid w:val="00EE55C0"/>
    <w:rsid w:val="00EE5784"/>
    <w:rsid w:val="00EE65F8"/>
    <w:rsid w:val="00EE6C43"/>
    <w:rsid w:val="00EE7061"/>
    <w:rsid w:val="00EF0242"/>
    <w:rsid w:val="00EF03C8"/>
    <w:rsid w:val="00EF0796"/>
    <w:rsid w:val="00EF2296"/>
    <w:rsid w:val="00EF26F3"/>
    <w:rsid w:val="00EF2866"/>
    <w:rsid w:val="00EF28BD"/>
    <w:rsid w:val="00EF2BC5"/>
    <w:rsid w:val="00EF4517"/>
    <w:rsid w:val="00EF524A"/>
    <w:rsid w:val="00EF54DE"/>
    <w:rsid w:val="00EF5808"/>
    <w:rsid w:val="00EF600F"/>
    <w:rsid w:val="00EF6F13"/>
    <w:rsid w:val="00EF6FA8"/>
    <w:rsid w:val="00EF7565"/>
    <w:rsid w:val="00EF7DD9"/>
    <w:rsid w:val="00F01232"/>
    <w:rsid w:val="00F014F6"/>
    <w:rsid w:val="00F015EE"/>
    <w:rsid w:val="00F01699"/>
    <w:rsid w:val="00F026C1"/>
    <w:rsid w:val="00F02C6B"/>
    <w:rsid w:val="00F02CEF"/>
    <w:rsid w:val="00F0358A"/>
    <w:rsid w:val="00F036DD"/>
    <w:rsid w:val="00F061E7"/>
    <w:rsid w:val="00F069C7"/>
    <w:rsid w:val="00F072CD"/>
    <w:rsid w:val="00F07642"/>
    <w:rsid w:val="00F07A04"/>
    <w:rsid w:val="00F105C4"/>
    <w:rsid w:val="00F10AE2"/>
    <w:rsid w:val="00F1121B"/>
    <w:rsid w:val="00F11467"/>
    <w:rsid w:val="00F11799"/>
    <w:rsid w:val="00F1196F"/>
    <w:rsid w:val="00F11E83"/>
    <w:rsid w:val="00F13BE7"/>
    <w:rsid w:val="00F13C83"/>
    <w:rsid w:val="00F1406A"/>
    <w:rsid w:val="00F14910"/>
    <w:rsid w:val="00F16FA2"/>
    <w:rsid w:val="00F172F1"/>
    <w:rsid w:val="00F200FA"/>
    <w:rsid w:val="00F20C18"/>
    <w:rsid w:val="00F215D3"/>
    <w:rsid w:val="00F2194A"/>
    <w:rsid w:val="00F21EC0"/>
    <w:rsid w:val="00F22082"/>
    <w:rsid w:val="00F22780"/>
    <w:rsid w:val="00F232C3"/>
    <w:rsid w:val="00F232E2"/>
    <w:rsid w:val="00F24B6B"/>
    <w:rsid w:val="00F257AE"/>
    <w:rsid w:val="00F25F51"/>
    <w:rsid w:val="00F25FC1"/>
    <w:rsid w:val="00F26D53"/>
    <w:rsid w:val="00F2734C"/>
    <w:rsid w:val="00F27A33"/>
    <w:rsid w:val="00F3062A"/>
    <w:rsid w:val="00F31402"/>
    <w:rsid w:val="00F3197A"/>
    <w:rsid w:val="00F31FAD"/>
    <w:rsid w:val="00F33220"/>
    <w:rsid w:val="00F33225"/>
    <w:rsid w:val="00F333D1"/>
    <w:rsid w:val="00F336AC"/>
    <w:rsid w:val="00F3394D"/>
    <w:rsid w:val="00F33FDB"/>
    <w:rsid w:val="00F346C7"/>
    <w:rsid w:val="00F34B67"/>
    <w:rsid w:val="00F35B63"/>
    <w:rsid w:val="00F36810"/>
    <w:rsid w:val="00F36F68"/>
    <w:rsid w:val="00F3754D"/>
    <w:rsid w:val="00F40AFB"/>
    <w:rsid w:val="00F40AFD"/>
    <w:rsid w:val="00F40BA8"/>
    <w:rsid w:val="00F417FC"/>
    <w:rsid w:val="00F41A2E"/>
    <w:rsid w:val="00F41A4A"/>
    <w:rsid w:val="00F42FAD"/>
    <w:rsid w:val="00F433C4"/>
    <w:rsid w:val="00F439B9"/>
    <w:rsid w:val="00F43CBA"/>
    <w:rsid w:val="00F43E15"/>
    <w:rsid w:val="00F43E89"/>
    <w:rsid w:val="00F44564"/>
    <w:rsid w:val="00F44989"/>
    <w:rsid w:val="00F449F9"/>
    <w:rsid w:val="00F44BA9"/>
    <w:rsid w:val="00F44E3E"/>
    <w:rsid w:val="00F4527D"/>
    <w:rsid w:val="00F45EAA"/>
    <w:rsid w:val="00F46882"/>
    <w:rsid w:val="00F47710"/>
    <w:rsid w:val="00F5031B"/>
    <w:rsid w:val="00F50582"/>
    <w:rsid w:val="00F529B2"/>
    <w:rsid w:val="00F53A00"/>
    <w:rsid w:val="00F53E11"/>
    <w:rsid w:val="00F5447E"/>
    <w:rsid w:val="00F54B23"/>
    <w:rsid w:val="00F54EE1"/>
    <w:rsid w:val="00F54F0E"/>
    <w:rsid w:val="00F5622A"/>
    <w:rsid w:val="00F56834"/>
    <w:rsid w:val="00F57DA9"/>
    <w:rsid w:val="00F61170"/>
    <w:rsid w:val="00F612A6"/>
    <w:rsid w:val="00F6146A"/>
    <w:rsid w:val="00F6178B"/>
    <w:rsid w:val="00F6309B"/>
    <w:rsid w:val="00F67BAC"/>
    <w:rsid w:val="00F70EA4"/>
    <w:rsid w:val="00F710A6"/>
    <w:rsid w:val="00F72F46"/>
    <w:rsid w:val="00F7336B"/>
    <w:rsid w:val="00F738D5"/>
    <w:rsid w:val="00F73D08"/>
    <w:rsid w:val="00F73F32"/>
    <w:rsid w:val="00F743F0"/>
    <w:rsid w:val="00F76334"/>
    <w:rsid w:val="00F772AF"/>
    <w:rsid w:val="00F77BE2"/>
    <w:rsid w:val="00F77C72"/>
    <w:rsid w:val="00F804F6"/>
    <w:rsid w:val="00F813F5"/>
    <w:rsid w:val="00F81B31"/>
    <w:rsid w:val="00F81B5C"/>
    <w:rsid w:val="00F822A6"/>
    <w:rsid w:val="00F82393"/>
    <w:rsid w:val="00F836B6"/>
    <w:rsid w:val="00F837F4"/>
    <w:rsid w:val="00F84D79"/>
    <w:rsid w:val="00F85286"/>
    <w:rsid w:val="00F860D6"/>
    <w:rsid w:val="00F861B4"/>
    <w:rsid w:val="00F918E6"/>
    <w:rsid w:val="00F91AD6"/>
    <w:rsid w:val="00F92078"/>
    <w:rsid w:val="00F922E0"/>
    <w:rsid w:val="00F923AF"/>
    <w:rsid w:val="00F9270D"/>
    <w:rsid w:val="00F92BC4"/>
    <w:rsid w:val="00F92EA0"/>
    <w:rsid w:val="00F94144"/>
    <w:rsid w:val="00F94F23"/>
    <w:rsid w:val="00F95705"/>
    <w:rsid w:val="00F95855"/>
    <w:rsid w:val="00F95C92"/>
    <w:rsid w:val="00F964CF"/>
    <w:rsid w:val="00F96B21"/>
    <w:rsid w:val="00F96FD1"/>
    <w:rsid w:val="00FA02C0"/>
    <w:rsid w:val="00FA1A2F"/>
    <w:rsid w:val="00FA1CEC"/>
    <w:rsid w:val="00FA1D9D"/>
    <w:rsid w:val="00FA1FD8"/>
    <w:rsid w:val="00FA2FF7"/>
    <w:rsid w:val="00FA362D"/>
    <w:rsid w:val="00FA3650"/>
    <w:rsid w:val="00FA3764"/>
    <w:rsid w:val="00FA3E6D"/>
    <w:rsid w:val="00FA455D"/>
    <w:rsid w:val="00FA4EBF"/>
    <w:rsid w:val="00FA527F"/>
    <w:rsid w:val="00FA544A"/>
    <w:rsid w:val="00FA5677"/>
    <w:rsid w:val="00FA5A51"/>
    <w:rsid w:val="00FA5F7D"/>
    <w:rsid w:val="00FA662E"/>
    <w:rsid w:val="00FA6D44"/>
    <w:rsid w:val="00FA6E08"/>
    <w:rsid w:val="00FA7BC0"/>
    <w:rsid w:val="00FA7E71"/>
    <w:rsid w:val="00FB04A9"/>
    <w:rsid w:val="00FB065D"/>
    <w:rsid w:val="00FB07DD"/>
    <w:rsid w:val="00FB1761"/>
    <w:rsid w:val="00FB18F8"/>
    <w:rsid w:val="00FB1C68"/>
    <w:rsid w:val="00FB2A98"/>
    <w:rsid w:val="00FB316F"/>
    <w:rsid w:val="00FB4464"/>
    <w:rsid w:val="00FB483A"/>
    <w:rsid w:val="00FB4BCE"/>
    <w:rsid w:val="00FB573E"/>
    <w:rsid w:val="00FB6C31"/>
    <w:rsid w:val="00FB7BD0"/>
    <w:rsid w:val="00FC26A8"/>
    <w:rsid w:val="00FC2880"/>
    <w:rsid w:val="00FC3423"/>
    <w:rsid w:val="00FC587C"/>
    <w:rsid w:val="00FC637B"/>
    <w:rsid w:val="00FC6F72"/>
    <w:rsid w:val="00FC7992"/>
    <w:rsid w:val="00FD0146"/>
    <w:rsid w:val="00FD0A0D"/>
    <w:rsid w:val="00FD1A9A"/>
    <w:rsid w:val="00FD3453"/>
    <w:rsid w:val="00FD5401"/>
    <w:rsid w:val="00FD5A6F"/>
    <w:rsid w:val="00FD5CA9"/>
    <w:rsid w:val="00FD5D1B"/>
    <w:rsid w:val="00FD723A"/>
    <w:rsid w:val="00FD76BF"/>
    <w:rsid w:val="00FD7FAA"/>
    <w:rsid w:val="00FE0027"/>
    <w:rsid w:val="00FE003A"/>
    <w:rsid w:val="00FE080B"/>
    <w:rsid w:val="00FE0A51"/>
    <w:rsid w:val="00FE0E2A"/>
    <w:rsid w:val="00FE129B"/>
    <w:rsid w:val="00FE2853"/>
    <w:rsid w:val="00FE29FF"/>
    <w:rsid w:val="00FE2B8F"/>
    <w:rsid w:val="00FE334E"/>
    <w:rsid w:val="00FE3964"/>
    <w:rsid w:val="00FE3D2A"/>
    <w:rsid w:val="00FE48F6"/>
    <w:rsid w:val="00FE5218"/>
    <w:rsid w:val="00FE542F"/>
    <w:rsid w:val="00FE560C"/>
    <w:rsid w:val="00FE56EE"/>
    <w:rsid w:val="00FE6E06"/>
    <w:rsid w:val="00FE74F7"/>
    <w:rsid w:val="00FE7947"/>
    <w:rsid w:val="00FE7A9E"/>
    <w:rsid w:val="00FF06F7"/>
    <w:rsid w:val="00FF0E98"/>
    <w:rsid w:val="00FF0FA2"/>
    <w:rsid w:val="00FF0FB1"/>
    <w:rsid w:val="00FF191A"/>
    <w:rsid w:val="00FF2B24"/>
    <w:rsid w:val="00FF36D2"/>
    <w:rsid w:val="00FF3A64"/>
    <w:rsid w:val="00FF5ABF"/>
    <w:rsid w:val="00FF60AF"/>
    <w:rsid w:val="00FF63B2"/>
    <w:rsid w:val="00FF7794"/>
    <w:rsid w:val="01104D6C"/>
    <w:rsid w:val="01181B3F"/>
    <w:rsid w:val="013D404E"/>
    <w:rsid w:val="01675739"/>
    <w:rsid w:val="01B81E8A"/>
    <w:rsid w:val="01DF0A4A"/>
    <w:rsid w:val="020969BD"/>
    <w:rsid w:val="022914BC"/>
    <w:rsid w:val="022A39DD"/>
    <w:rsid w:val="02401036"/>
    <w:rsid w:val="02764B21"/>
    <w:rsid w:val="03E5503B"/>
    <w:rsid w:val="045C29A7"/>
    <w:rsid w:val="047E185E"/>
    <w:rsid w:val="049D6ACC"/>
    <w:rsid w:val="04CA34B5"/>
    <w:rsid w:val="04D74871"/>
    <w:rsid w:val="04E326FC"/>
    <w:rsid w:val="05614B95"/>
    <w:rsid w:val="05A45CE3"/>
    <w:rsid w:val="05EC445F"/>
    <w:rsid w:val="05F03512"/>
    <w:rsid w:val="061C52D9"/>
    <w:rsid w:val="06652463"/>
    <w:rsid w:val="06CE625A"/>
    <w:rsid w:val="06D01FD2"/>
    <w:rsid w:val="06D05B2E"/>
    <w:rsid w:val="06DE2D37"/>
    <w:rsid w:val="06F85F55"/>
    <w:rsid w:val="073E1838"/>
    <w:rsid w:val="07601727"/>
    <w:rsid w:val="07DB0C2F"/>
    <w:rsid w:val="08256391"/>
    <w:rsid w:val="087D0A39"/>
    <w:rsid w:val="08817F4D"/>
    <w:rsid w:val="08B129BB"/>
    <w:rsid w:val="08FA3336"/>
    <w:rsid w:val="09097692"/>
    <w:rsid w:val="09F52255"/>
    <w:rsid w:val="09FF74F8"/>
    <w:rsid w:val="0AA35EA1"/>
    <w:rsid w:val="0ABF65E6"/>
    <w:rsid w:val="0ADA2C67"/>
    <w:rsid w:val="0AE675F5"/>
    <w:rsid w:val="0B0E131B"/>
    <w:rsid w:val="0B301291"/>
    <w:rsid w:val="0B633415"/>
    <w:rsid w:val="0BA9220C"/>
    <w:rsid w:val="0BF726AB"/>
    <w:rsid w:val="0C1B20EA"/>
    <w:rsid w:val="0C200C6C"/>
    <w:rsid w:val="0C48085D"/>
    <w:rsid w:val="0CAC341B"/>
    <w:rsid w:val="0CDB522D"/>
    <w:rsid w:val="0D0504FC"/>
    <w:rsid w:val="0D2546FA"/>
    <w:rsid w:val="0D3B1B72"/>
    <w:rsid w:val="0D570D57"/>
    <w:rsid w:val="0D96285E"/>
    <w:rsid w:val="0DC14423"/>
    <w:rsid w:val="0DCB1434"/>
    <w:rsid w:val="0DCB34F3"/>
    <w:rsid w:val="0E9D6C3E"/>
    <w:rsid w:val="0EBD2E3C"/>
    <w:rsid w:val="0F580DB7"/>
    <w:rsid w:val="0FCE1079"/>
    <w:rsid w:val="109951E3"/>
    <w:rsid w:val="1101035E"/>
    <w:rsid w:val="11344F9B"/>
    <w:rsid w:val="113849FC"/>
    <w:rsid w:val="114E2471"/>
    <w:rsid w:val="116A4DD1"/>
    <w:rsid w:val="117B0D8C"/>
    <w:rsid w:val="11A227BD"/>
    <w:rsid w:val="11A37421"/>
    <w:rsid w:val="11A77DD3"/>
    <w:rsid w:val="11CA71A4"/>
    <w:rsid w:val="11D64215"/>
    <w:rsid w:val="11F254F3"/>
    <w:rsid w:val="12DB7D35"/>
    <w:rsid w:val="1332191F"/>
    <w:rsid w:val="13435C7A"/>
    <w:rsid w:val="1372394B"/>
    <w:rsid w:val="138853BA"/>
    <w:rsid w:val="13AC0F0B"/>
    <w:rsid w:val="13C46BA0"/>
    <w:rsid w:val="13F217B4"/>
    <w:rsid w:val="14E1184E"/>
    <w:rsid w:val="14F07515"/>
    <w:rsid w:val="14F670A8"/>
    <w:rsid w:val="153A016E"/>
    <w:rsid w:val="15831F6B"/>
    <w:rsid w:val="15882900"/>
    <w:rsid w:val="159266A5"/>
    <w:rsid w:val="16411B09"/>
    <w:rsid w:val="164B1A97"/>
    <w:rsid w:val="16DD77C7"/>
    <w:rsid w:val="16E34730"/>
    <w:rsid w:val="170A0D01"/>
    <w:rsid w:val="170E265C"/>
    <w:rsid w:val="17320967"/>
    <w:rsid w:val="1741515D"/>
    <w:rsid w:val="17DE026B"/>
    <w:rsid w:val="18095344"/>
    <w:rsid w:val="18816488"/>
    <w:rsid w:val="18F013D7"/>
    <w:rsid w:val="19604376"/>
    <w:rsid w:val="19677109"/>
    <w:rsid w:val="19704F4F"/>
    <w:rsid w:val="19720CC7"/>
    <w:rsid w:val="19A90B8D"/>
    <w:rsid w:val="19CC6629"/>
    <w:rsid w:val="19E27BFB"/>
    <w:rsid w:val="1A3914CB"/>
    <w:rsid w:val="1A5441C4"/>
    <w:rsid w:val="1A705FFB"/>
    <w:rsid w:val="1ABA2800"/>
    <w:rsid w:val="1AE4474F"/>
    <w:rsid w:val="1B487F31"/>
    <w:rsid w:val="1B4E3485"/>
    <w:rsid w:val="1B793A29"/>
    <w:rsid w:val="1BD6553D"/>
    <w:rsid w:val="1BDA551F"/>
    <w:rsid w:val="1BE31EF1"/>
    <w:rsid w:val="1C0F0680"/>
    <w:rsid w:val="1C1C4F1A"/>
    <w:rsid w:val="1C35152D"/>
    <w:rsid w:val="1C5D12C5"/>
    <w:rsid w:val="1CA97685"/>
    <w:rsid w:val="1D4E37F9"/>
    <w:rsid w:val="1D5B18EA"/>
    <w:rsid w:val="1D6E5921"/>
    <w:rsid w:val="1DB07D27"/>
    <w:rsid w:val="1DEA59C3"/>
    <w:rsid w:val="1EA02D82"/>
    <w:rsid w:val="1EA22CF6"/>
    <w:rsid w:val="1EB10E9D"/>
    <w:rsid w:val="1EF34658"/>
    <w:rsid w:val="1EFF4C2E"/>
    <w:rsid w:val="1F0F21EF"/>
    <w:rsid w:val="1F7A6B27"/>
    <w:rsid w:val="1F8D685B"/>
    <w:rsid w:val="1F8E6CC4"/>
    <w:rsid w:val="1FD471C5"/>
    <w:rsid w:val="204F7F95"/>
    <w:rsid w:val="206C1552"/>
    <w:rsid w:val="219D70E6"/>
    <w:rsid w:val="221C3EC6"/>
    <w:rsid w:val="22430F53"/>
    <w:rsid w:val="228D253D"/>
    <w:rsid w:val="233E0C6D"/>
    <w:rsid w:val="23405992"/>
    <w:rsid w:val="23963804"/>
    <w:rsid w:val="23C16AD3"/>
    <w:rsid w:val="24184829"/>
    <w:rsid w:val="241A307F"/>
    <w:rsid w:val="24311EAA"/>
    <w:rsid w:val="245A4A6F"/>
    <w:rsid w:val="24A02B8C"/>
    <w:rsid w:val="24FD478C"/>
    <w:rsid w:val="25775F33"/>
    <w:rsid w:val="25B85291"/>
    <w:rsid w:val="25FA2A58"/>
    <w:rsid w:val="260D7BC8"/>
    <w:rsid w:val="26C16DEA"/>
    <w:rsid w:val="26DF3445"/>
    <w:rsid w:val="272D162E"/>
    <w:rsid w:val="274E4B21"/>
    <w:rsid w:val="27697422"/>
    <w:rsid w:val="28123DA1"/>
    <w:rsid w:val="281E3468"/>
    <w:rsid w:val="28201ABA"/>
    <w:rsid w:val="287E5014"/>
    <w:rsid w:val="28962934"/>
    <w:rsid w:val="28AA6669"/>
    <w:rsid w:val="28B07116"/>
    <w:rsid w:val="28F124F7"/>
    <w:rsid w:val="293451E1"/>
    <w:rsid w:val="293D6BFB"/>
    <w:rsid w:val="29435112"/>
    <w:rsid w:val="29CC2BA0"/>
    <w:rsid w:val="29DE4FC3"/>
    <w:rsid w:val="29F224B1"/>
    <w:rsid w:val="2A0911D4"/>
    <w:rsid w:val="2A2E77E6"/>
    <w:rsid w:val="2A353998"/>
    <w:rsid w:val="2A497CBC"/>
    <w:rsid w:val="2A573B43"/>
    <w:rsid w:val="2A766E7C"/>
    <w:rsid w:val="2AB4113F"/>
    <w:rsid w:val="2ADC41F2"/>
    <w:rsid w:val="2AE354C8"/>
    <w:rsid w:val="2BF81500"/>
    <w:rsid w:val="2C506C46"/>
    <w:rsid w:val="2C5524AE"/>
    <w:rsid w:val="2CA53959"/>
    <w:rsid w:val="2CA70D84"/>
    <w:rsid w:val="2D9255AF"/>
    <w:rsid w:val="2DA770C8"/>
    <w:rsid w:val="2E3A613B"/>
    <w:rsid w:val="2E673A89"/>
    <w:rsid w:val="2F3A3B1A"/>
    <w:rsid w:val="2F4514C9"/>
    <w:rsid w:val="2FE9188B"/>
    <w:rsid w:val="2FF65D56"/>
    <w:rsid w:val="301C47DB"/>
    <w:rsid w:val="303A5D11"/>
    <w:rsid w:val="307C7D7B"/>
    <w:rsid w:val="30D44173"/>
    <w:rsid w:val="310669D2"/>
    <w:rsid w:val="31105F1B"/>
    <w:rsid w:val="313C439B"/>
    <w:rsid w:val="318178A1"/>
    <w:rsid w:val="31991CD6"/>
    <w:rsid w:val="31AD27E4"/>
    <w:rsid w:val="3216623C"/>
    <w:rsid w:val="325B00F2"/>
    <w:rsid w:val="3264344B"/>
    <w:rsid w:val="328628CF"/>
    <w:rsid w:val="329110B5"/>
    <w:rsid w:val="33A15FD9"/>
    <w:rsid w:val="33A87367"/>
    <w:rsid w:val="33AA2B3A"/>
    <w:rsid w:val="33F91286"/>
    <w:rsid w:val="342F6814"/>
    <w:rsid w:val="348208E2"/>
    <w:rsid w:val="34AF4725"/>
    <w:rsid w:val="35101668"/>
    <w:rsid w:val="351A4295"/>
    <w:rsid w:val="352C5D76"/>
    <w:rsid w:val="35B11C30"/>
    <w:rsid w:val="35C42453"/>
    <w:rsid w:val="35F00C47"/>
    <w:rsid w:val="363155DA"/>
    <w:rsid w:val="36CF7669"/>
    <w:rsid w:val="372238D5"/>
    <w:rsid w:val="373652B7"/>
    <w:rsid w:val="376161AB"/>
    <w:rsid w:val="37C404E8"/>
    <w:rsid w:val="38051894"/>
    <w:rsid w:val="3938513A"/>
    <w:rsid w:val="394B245C"/>
    <w:rsid w:val="3A0F2CC4"/>
    <w:rsid w:val="3A4D31EE"/>
    <w:rsid w:val="3A8C5E79"/>
    <w:rsid w:val="3A9C574C"/>
    <w:rsid w:val="3BF71AAF"/>
    <w:rsid w:val="3C187054"/>
    <w:rsid w:val="3CEF4259"/>
    <w:rsid w:val="3CF36181"/>
    <w:rsid w:val="3CF96E86"/>
    <w:rsid w:val="3D566086"/>
    <w:rsid w:val="3D5A3103"/>
    <w:rsid w:val="3D9F17DB"/>
    <w:rsid w:val="3DAD0A2F"/>
    <w:rsid w:val="3DC2403A"/>
    <w:rsid w:val="3DE76B13"/>
    <w:rsid w:val="3E257E13"/>
    <w:rsid w:val="3E3D0FF4"/>
    <w:rsid w:val="3E8B7FB1"/>
    <w:rsid w:val="3EB5502E"/>
    <w:rsid w:val="3ED25C91"/>
    <w:rsid w:val="3F000AF5"/>
    <w:rsid w:val="3F010273"/>
    <w:rsid w:val="3F2165EC"/>
    <w:rsid w:val="3F403F7C"/>
    <w:rsid w:val="3F5220BF"/>
    <w:rsid w:val="3F544847"/>
    <w:rsid w:val="3F98568C"/>
    <w:rsid w:val="3FAE21A9"/>
    <w:rsid w:val="3FF81804"/>
    <w:rsid w:val="40972C3D"/>
    <w:rsid w:val="4121657E"/>
    <w:rsid w:val="412E0E49"/>
    <w:rsid w:val="41F2713A"/>
    <w:rsid w:val="42031BF1"/>
    <w:rsid w:val="420B38E3"/>
    <w:rsid w:val="42205EE5"/>
    <w:rsid w:val="42274495"/>
    <w:rsid w:val="42291FBB"/>
    <w:rsid w:val="42470693"/>
    <w:rsid w:val="429642C6"/>
    <w:rsid w:val="42F9198D"/>
    <w:rsid w:val="430818FD"/>
    <w:rsid w:val="43087E22"/>
    <w:rsid w:val="432A5C58"/>
    <w:rsid w:val="43B04200"/>
    <w:rsid w:val="440D3B82"/>
    <w:rsid w:val="443A1503"/>
    <w:rsid w:val="444940D8"/>
    <w:rsid w:val="44915BF6"/>
    <w:rsid w:val="449612D2"/>
    <w:rsid w:val="45060DFA"/>
    <w:rsid w:val="451553B3"/>
    <w:rsid w:val="451A5BEB"/>
    <w:rsid w:val="45C81AEB"/>
    <w:rsid w:val="45C920D3"/>
    <w:rsid w:val="45F25354"/>
    <w:rsid w:val="468772B0"/>
    <w:rsid w:val="46A119EC"/>
    <w:rsid w:val="46ED7A5B"/>
    <w:rsid w:val="46F74436"/>
    <w:rsid w:val="4771702F"/>
    <w:rsid w:val="47D5187C"/>
    <w:rsid w:val="47E32C09"/>
    <w:rsid w:val="48BA7EF1"/>
    <w:rsid w:val="491A265E"/>
    <w:rsid w:val="4921579A"/>
    <w:rsid w:val="49342C6C"/>
    <w:rsid w:val="49520049"/>
    <w:rsid w:val="49D01E28"/>
    <w:rsid w:val="49DF1A1C"/>
    <w:rsid w:val="49FE125E"/>
    <w:rsid w:val="4A871F75"/>
    <w:rsid w:val="4A914BA1"/>
    <w:rsid w:val="4AAC4D79"/>
    <w:rsid w:val="4AE0041E"/>
    <w:rsid w:val="4AE41175"/>
    <w:rsid w:val="4AEF4D63"/>
    <w:rsid w:val="4BAF3531"/>
    <w:rsid w:val="4BB23021"/>
    <w:rsid w:val="4C19436A"/>
    <w:rsid w:val="4C294438"/>
    <w:rsid w:val="4CB3789B"/>
    <w:rsid w:val="4D044C25"/>
    <w:rsid w:val="4D883B5D"/>
    <w:rsid w:val="4D986F7B"/>
    <w:rsid w:val="4DDC25D7"/>
    <w:rsid w:val="4DFF24C5"/>
    <w:rsid w:val="4E807F55"/>
    <w:rsid w:val="4E8D4C9B"/>
    <w:rsid w:val="4F1D54F4"/>
    <w:rsid w:val="4F2C4E99"/>
    <w:rsid w:val="4F3D29F5"/>
    <w:rsid w:val="4F5641F3"/>
    <w:rsid w:val="4FB15B8C"/>
    <w:rsid w:val="4FED4628"/>
    <w:rsid w:val="4FEE65F2"/>
    <w:rsid w:val="501C4F0D"/>
    <w:rsid w:val="505446A7"/>
    <w:rsid w:val="50FE0168"/>
    <w:rsid w:val="51192D66"/>
    <w:rsid w:val="513270DE"/>
    <w:rsid w:val="51711F5D"/>
    <w:rsid w:val="51824B2F"/>
    <w:rsid w:val="52341251"/>
    <w:rsid w:val="523E560F"/>
    <w:rsid w:val="52C5363A"/>
    <w:rsid w:val="52EC60CF"/>
    <w:rsid w:val="53140BE3"/>
    <w:rsid w:val="53177C0E"/>
    <w:rsid w:val="5319513F"/>
    <w:rsid w:val="539812BC"/>
    <w:rsid w:val="53DC2107"/>
    <w:rsid w:val="53DF24DA"/>
    <w:rsid w:val="53F11286"/>
    <w:rsid w:val="53F40340"/>
    <w:rsid w:val="53F50D80"/>
    <w:rsid w:val="542E2E1E"/>
    <w:rsid w:val="5464705F"/>
    <w:rsid w:val="54741D03"/>
    <w:rsid w:val="547C6782"/>
    <w:rsid w:val="548D673B"/>
    <w:rsid w:val="54AB3D3A"/>
    <w:rsid w:val="55A020D6"/>
    <w:rsid w:val="55FD02E7"/>
    <w:rsid w:val="563565ED"/>
    <w:rsid w:val="56465C40"/>
    <w:rsid w:val="568E57A3"/>
    <w:rsid w:val="56A65531"/>
    <w:rsid w:val="570A0F13"/>
    <w:rsid w:val="57281580"/>
    <w:rsid w:val="57802226"/>
    <w:rsid w:val="57982ACE"/>
    <w:rsid w:val="579A3252"/>
    <w:rsid w:val="57AE0D20"/>
    <w:rsid w:val="57E071C8"/>
    <w:rsid w:val="580D1D96"/>
    <w:rsid w:val="581E3DAB"/>
    <w:rsid w:val="58C27C7F"/>
    <w:rsid w:val="58C7085D"/>
    <w:rsid w:val="58EBAA23"/>
    <w:rsid w:val="591A783D"/>
    <w:rsid w:val="593F3EB7"/>
    <w:rsid w:val="59A96B81"/>
    <w:rsid w:val="59AF294E"/>
    <w:rsid w:val="59AF6623"/>
    <w:rsid w:val="59FD190B"/>
    <w:rsid w:val="5A2E6C07"/>
    <w:rsid w:val="5B215ACE"/>
    <w:rsid w:val="5B917EEE"/>
    <w:rsid w:val="5B9A2AA4"/>
    <w:rsid w:val="5BBE292A"/>
    <w:rsid w:val="5BD033CB"/>
    <w:rsid w:val="5C8A3579"/>
    <w:rsid w:val="5CAC1BF9"/>
    <w:rsid w:val="5CC76201"/>
    <w:rsid w:val="5CCB60C1"/>
    <w:rsid w:val="5D196CED"/>
    <w:rsid w:val="5D5201C0"/>
    <w:rsid w:val="5D823597"/>
    <w:rsid w:val="5DD14C26"/>
    <w:rsid w:val="5DDF63AB"/>
    <w:rsid w:val="5E510357"/>
    <w:rsid w:val="5E7C46C7"/>
    <w:rsid w:val="5EA467FA"/>
    <w:rsid w:val="5ECB0C7D"/>
    <w:rsid w:val="5F2E778E"/>
    <w:rsid w:val="5FCF5106"/>
    <w:rsid w:val="5FF2159A"/>
    <w:rsid w:val="5FFB4B3F"/>
    <w:rsid w:val="609B1751"/>
    <w:rsid w:val="61F93300"/>
    <w:rsid w:val="61F95D48"/>
    <w:rsid w:val="61FC2B9E"/>
    <w:rsid w:val="6203395D"/>
    <w:rsid w:val="6243457B"/>
    <w:rsid w:val="62DE2AC6"/>
    <w:rsid w:val="62FD125D"/>
    <w:rsid w:val="63CC7811"/>
    <w:rsid w:val="6423181B"/>
    <w:rsid w:val="646C2758"/>
    <w:rsid w:val="64992B79"/>
    <w:rsid w:val="64D02B8F"/>
    <w:rsid w:val="65732023"/>
    <w:rsid w:val="65981DDD"/>
    <w:rsid w:val="65BF3643"/>
    <w:rsid w:val="65E16585"/>
    <w:rsid w:val="65F362B8"/>
    <w:rsid w:val="66251F23"/>
    <w:rsid w:val="66703465"/>
    <w:rsid w:val="66901BA3"/>
    <w:rsid w:val="66AC7A28"/>
    <w:rsid w:val="67033B0C"/>
    <w:rsid w:val="6727446C"/>
    <w:rsid w:val="673523E4"/>
    <w:rsid w:val="67873F76"/>
    <w:rsid w:val="67905467"/>
    <w:rsid w:val="67BD13ED"/>
    <w:rsid w:val="67C544F0"/>
    <w:rsid w:val="67C6407D"/>
    <w:rsid w:val="67EE073B"/>
    <w:rsid w:val="67F24A7A"/>
    <w:rsid w:val="6821710D"/>
    <w:rsid w:val="68224AD1"/>
    <w:rsid w:val="686B0388"/>
    <w:rsid w:val="68B06C04"/>
    <w:rsid w:val="696D4C87"/>
    <w:rsid w:val="69C45FA2"/>
    <w:rsid w:val="69D50DF2"/>
    <w:rsid w:val="6A026122"/>
    <w:rsid w:val="6A0942FC"/>
    <w:rsid w:val="6A24370A"/>
    <w:rsid w:val="6A3546FF"/>
    <w:rsid w:val="6A575F36"/>
    <w:rsid w:val="6A9110E7"/>
    <w:rsid w:val="6A9F256B"/>
    <w:rsid w:val="6AC00C90"/>
    <w:rsid w:val="6B3E4046"/>
    <w:rsid w:val="6B6F018F"/>
    <w:rsid w:val="6BAE047C"/>
    <w:rsid w:val="6BE82FF2"/>
    <w:rsid w:val="6C0A75F2"/>
    <w:rsid w:val="6C550199"/>
    <w:rsid w:val="6C847C6A"/>
    <w:rsid w:val="6CF63DF3"/>
    <w:rsid w:val="6D643DA0"/>
    <w:rsid w:val="6DEA7FA1"/>
    <w:rsid w:val="6DEF229A"/>
    <w:rsid w:val="6DF38252"/>
    <w:rsid w:val="6E056B6D"/>
    <w:rsid w:val="6E1D060D"/>
    <w:rsid w:val="6E332EED"/>
    <w:rsid w:val="6E7B6CAC"/>
    <w:rsid w:val="6EC5447F"/>
    <w:rsid w:val="6F8A38C5"/>
    <w:rsid w:val="6FAB4EFF"/>
    <w:rsid w:val="6FFFD5A7"/>
    <w:rsid w:val="70044037"/>
    <w:rsid w:val="701C1994"/>
    <w:rsid w:val="7040034C"/>
    <w:rsid w:val="70785D38"/>
    <w:rsid w:val="70AD75A8"/>
    <w:rsid w:val="70FF3D63"/>
    <w:rsid w:val="713B4F3B"/>
    <w:rsid w:val="71685DAD"/>
    <w:rsid w:val="71926986"/>
    <w:rsid w:val="71D054BF"/>
    <w:rsid w:val="71E7506F"/>
    <w:rsid w:val="71E954FF"/>
    <w:rsid w:val="71EF3DD8"/>
    <w:rsid w:val="71F9034B"/>
    <w:rsid w:val="720A021F"/>
    <w:rsid w:val="72391387"/>
    <w:rsid w:val="72577C55"/>
    <w:rsid w:val="72614F83"/>
    <w:rsid w:val="726C71D7"/>
    <w:rsid w:val="72E04D55"/>
    <w:rsid w:val="7338355D"/>
    <w:rsid w:val="74134338"/>
    <w:rsid w:val="749D3FBF"/>
    <w:rsid w:val="74E03EAC"/>
    <w:rsid w:val="75096904"/>
    <w:rsid w:val="75141FF1"/>
    <w:rsid w:val="75195018"/>
    <w:rsid w:val="765608C9"/>
    <w:rsid w:val="7680773A"/>
    <w:rsid w:val="76D65566"/>
    <w:rsid w:val="770A5210"/>
    <w:rsid w:val="773F6777"/>
    <w:rsid w:val="776F6849"/>
    <w:rsid w:val="77F263D0"/>
    <w:rsid w:val="78247F45"/>
    <w:rsid w:val="7860158C"/>
    <w:rsid w:val="786B110C"/>
    <w:rsid w:val="78727511"/>
    <w:rsid w:val="78995B49"/>
    <w:rsid w:val="78BD078C"/>
    <w:rsid w:val="798B4E50"/>
    <w:rsid w:val="79BB7E33"/>
    <w:rsid w:val="79CD42D5"/>
    <w:rsid w:val="79FF4DD4"/>
    <w:rsid w:val="7A217CDA"/>
    <w:rsid w:val="7A3E76AA"/>
    <w:rsid w:val="7A5C1961"/>
    <w:rsid w:val="7AD74E54"/>
    <w:rsid w:val="7B142D2E"/>
    <w:rsid w:val="7B487C34"/>
    <w:rsid w:val="7B5C508A"/>
    <w:rsid w:val="7B8B642F"/>
    <w:rsid w:val="7B8E4662"/>
    <w:rsid w:val="7CF46DFD"/>
    <w:rsid w:val="7D126BCC"/>
    <w:rsid w:val="7D342FE7"/>
    <w:rsid w:val="7DD02D0F"/>
    <w:rsid w:val="7DD62A03"/>
    <w:rsid w:val="7DFF35F5"/>
    <w:rsid w:val="7E126425"/>
    <w:rsid w:val="7E9B292B"/>
    <w:rsid w:val="7EA976D7"/>
    <w:rsid w:val="7EEF2E7D"/>
    <w:rsid w:val="7FB14DC3"/>
    <w:rsid w:val="7FB56A12"/>
    <w:rsid w:val="7FBA1FC4"/>
    <w:rsid w:val="A7DF3C97"/>
    <w:rsid w:val="BADFFA89"/>
    <w:rsid w:val="BE6F1704"/>
    <w:rsid w:val="DEEB51FE"/>
    <w:rsid w:val="E8F5BADA"/>
    <w:rsid w:val="F47EDE6C"/>
    <w:rsid w:val="FDFC1B05"/>
    <w:rsid w:val="FFEF064D"/>
    <w:rsid w:val="FFFDD6B1"/>
    <w:rsid w:val="FFFF1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semiHidden="0" w:name="heading 3" w:locked="1"/>
    <w:lsdException w:qFormat="1"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qFormat="1" w:unhideWhenUsed="0"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ocked="1"/>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200" w:firstLineChars="200"/>
      <w:jc w:val="both"/>
    </w:pPr>
    <w:rPr>
      <w:rFonts w:ascii="Times New Roman" w:hAnsi="Times New Roman" w:eastAsia="仿宋_GB2312" w:cs="Times New Roman"/>
      <w:kern w:val="2"/>
      <w:sz w:val="32"/>
      <w:lang w:val="en-US" w:eastAsia="zh-CN" w:bidi="ar-SA"/>
    </w:rPr>
  </w:style>
  <w:style w:type="paragraph" w:styleId="2">
    <w:name w:val="heading 1"/>
    <w:basedOn w:val="1"/>
    <w:next w:val="1"/>
    <w:link w:val="20"/>
    <w:qFormat/>
    <w:locked/>
    <w:uiPriority w:val="0"/>
    <w:pPr>
      <w:keepNext/>
      <w:keepLines/>
      <w:spacing w:line="520" w:lineRule="exact"/>
      <w:outlineLvl w:val="0"/>
    </w:pPr>
    <w:rPr>
      <w:rFonts w:eastAsia="黑体"/>
      <w:bCs/>
      <w:kern w:val="44"/>
      <w:szCs w:val="44"/>
    </w:rPr>
  </w:style>
  <w:style w:type="paragraph" w:styleId="3">
    <w:name w:val="heading 2"/>
    <w:basedOn w:val="1"/>
    <w:next w:val="1"/>
    <w:link w:val="21"/>
    <w:unhideWhenUsed/>
    <w:qFormat/>
    <w:locked/>
    <w:uiPriority w:val="0"/>
    <w:pPr>
      <w:keepNext/>
      <w:keepLines/>
      <w:spacing w:line="520" w:lineRule="exact"/>
      <w:outlineLvl w:val="1"/>
    </w:pPr>
    <w:rPr>
      <w:rFonts w:ascii="Calibri Light" w:hAnsi="Calibri Light" w:eastAsia="楷体_GB2312"/>
      <w:bCs/>
      <w:szCs w:val="32"/>
    </w:rPr>
  </w:style>
  <w:style w:type="paragraph" w:styleId="4">
    <w:name w:val="heading 3"/>
    <w:basedOn w:val="1"/>
    <w:next w:val="1"/>
    <w:link w:val="22"/>
    <w:unhideWhenUsed/>
    <w:qFormat/>
    <w:locked/>
    <w:uiPriority w:val="0"/>
    <w:pPr>
      <w:keepNext/>
      <w:keepLines/>
      <w:spacing w:line="520" w:lineRule="exact"/>
      <w:ind w:firstLine="0" w:firstLineChars="0"/>
      <w:outlineLvl w:val="2"/>
    </w:pPr>
    <w:rPr>
      <w:rFonts w:ascii="仿宋_GB2312"/>
      <w:bCs/>
      <w:szCs w:val="32"/>
    </w:rPr>
  </w:style>
  <w:style w:type="paragraph" w:styleId="5">
    <w:name w:val="heading 4"/>
    <w:basedOn w:val="1"/>
    <w:next w:val="1"/>
    <w:link w:val="23"/>
    <w:unhideWhenUsed/>
    <w:qFormat/>
    <w:locked/>
    <w:uiPriority w:val="0"/>
    <w:pPr>
      <w:keepNext/>
      <w:keepLines/>
      <w:spacing w:before="280" w:after="290" w:line="376" w:lineRule="atLeast"/>
      <w:outlineLvl w:val="3"/>
    </w:pPr>
    <w:rPr>
      <w:rFonts w:ascii="Cambria" w:hAnsi="Cambria" w:eastAsia="宋体"/>
      <w:b/>
      <w:bCs/>
      <w:sz w:val="28"/>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pPr>
      <w:jc w:val="left"/>
    </w:pPr>
  </w:style>
  <w:style w:type="paragraph" w:styleId="7">
    <w:name w:val="Balloon Text"/>
    <w:basedOn w:val="1"/>
    <w:link w:val="25"/>
    <w:semiHidden/>
    <w:qFormat/>
    <w:uiPriority w:val="0"/>
    <w:rPr>
      <w:sz w:val="18"/>
      <w:szCs w:val="18"/>
    </w:rPr>
  </w:style>
  <w:style w:type="paragraph" w:styleId="8">
    <w:name w:val="footer"/>
    <w:basedOn w:val="1"/>
    <w:link w:val="26"/>
    <w:qFormat/>
    <w:uiPriority w:val="99"/>
    <w:pPr>
      <w:tabs>
        <w:tab w:val="center" w:pos="4153"/>
        <w:tab w:val="right" w:pos="8306"/>
      </w:tabs>
      <w:snapToGrid w:val="0"/>
      <w:jc w:val="left"/>
    </w:pPr>
    <w:rPr>
      <w:sz w:val="18"/>
      <w:szCs w:val="18"/>
    </w:rPr>
  </w:style>
  <w:style w:type="paragraph" w:styleId="9">
    <w:name w:val="header"/>
    <w:basedOn w:val="1"/>
    <w:link w:val="27"/>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qFormat/>
    <w:uiPriority w:val="0"/>
    <w:pPr>
      <w:widowControl/>
      <w:spacing w:before="100" w:beforeAutospacing="1" w:after="100" w:afterAutospacing="1"/>
      <w:jc w:val="left"/>
    </w:pPr>
    <w:rPr>
      <w:rFonts w:ascii="宋体" w:hAnsi="宋体" w:cs="宋体"/>
      <w:kern w:val="0"/>
      <w:sz w:val="24"/>
      <w:szCs w:val="24"/>
    </w:rPr>
  </w:style>
  <w:style w:type="paragraph" w:styleId="11">
    <w:name w:val="Title"/>
    <w:basedOn w:val="1"/>
    <w:next w:val="1"/>
    <w:link w:val="28"/>
    <w:qFormat/>
    <w:locked/>
    <w:uiPriority w:val="0"/>
    <w:pPr>
      <w:spacing w:before="240" w:after="60"/>
      <w:jc w:val="center"/>
      <w:outlineLvl w:val="0"/>
    </w:pPr>
    <w:rPr>
      <w:rFonts w:ascii="Calibri Light" w:hAnsi="Calibri Light" w:eastAsia="方正小标宋_GBK"/>
      <w:b/>
      <w:bCs/>
      <w:sz w:val="44"/>
      <w:szCs w:val="32"/>
    </w:rPr>
  </w:style>
  <w:style w:type="paragraph" w:styleId="12">
    <w:name w:val="annotation subject"/>
    <w:basedOn w:val="6"/>
    <w:next w:val="6"/>
    <w:link w:val="29"/>
    <w:qFormat/>
    <w:uiPriority w:val="0"/>
    <w:rPr>
      <w:b/>
      <w:bCs/>
    </w:rPr>
  </w:style>
  <w:style w:type="table" w:styleId="14">
    <w:name w:val="Table Grid"/>
    <w:basedOn w:val="13"/>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locked/>
    <w:uiPriority w:val="0"/>
    <w:rPr>
      <w:b/>
    </w:rPr>
  </w:style>
  <w:style w:type="character" w:styleId="17">
    <w:name w:val="page number"/>
    <w:qFormat/>
    <w:uiPriority w:val="0"/>
    <w:rPr>
      <w:rFonts w:cs="Times New Roman"/>
    </w:rPr>
  </w:style>
  <w:style w:type="character" w:styleId="18">
    <w:name w:val="line number"/>
    <w:basedOn w:val="15"/>
    <w:unhideWhenUsed/>
    <w:qFormat/>
    <w:uiPriority w:val="0"/>
  </w:style>
  <w:style w:type="character" w:styleId="19">
    <w:name w:val="annotation reference"/>
    <w:basedOn w:val="15"/>
    <w:qFormat/>
    <w:uiPriority w:val="0"/>
    <w:rPr>
      <w:sz w:val="21"/>
      <w:szCs w:val="21"/>
    </w:rPr>
  </w:style>
  <w:style w:type="character" w:customStyle="1" w:styleId="20">
    <w:name w:val="标题 1 字符"/>
    <w:link w:val="2"/>
    <w:qFormat/>
    <w:uiPriority w:val="0"/>
    <w:rPr>
      <w:rFonts w:ascii="Times New Roman" w:hAnsi="Times New Roman" w:eastAsia="黑体"/>
      <w:bCs/>
      <w:kern w:val="44"/>
      <w:sz w:val="32"/>
      <w:szCs w:val="44"/>
    </w:rPr>
  </w:style>
  <w:style w:type="character" w:customStyle="1" w:styleId="21">
    <w:name w:val="标题 2 字符"/>
    <w:link w:val="3"/>
    <w:qFormat/>
    <w:uiPriority w:val="0"/>
    <w:rPr>
      <w:rFonts w:ascii="Calibri Light" w:hAnsi="Calibri Light" w:eastAsia="楷体_GB2312"/>
      <w:bCs/>
      <w:kern w:val="2"/>
      <w:sz w:val="32"/>
      <w:szCs w:val="32"/>
    </w:rPr>
  </w:style>
  <w:style w:type="character" w:customStyle="1" w:styleId="22">
    <w:name w:val="标题 3 字符"/>
    <w:link w:val="4"/>
    <w:qFormat/>
    <w:uiPriority w:val="0"/>
    <w:rPr>
      <w:rFonts w:ascii="仿宋_GB2312" w:hAnsi="Times New Roman" w:eastAsia="仿宋_GB2312"/>
      <w:bCs/>
      <w:kern w:val="2"/>
      <w:sz w:val="32"/>
      <w:szCs w:val="32"/>
    </w:rPr>
  </w:style>
  <w:style w:type="character" w:customStyle="1" w:styleId="23">
    <w:name w:val="标题 4 字符"/>
    <w:link w:val="5"/>
    <w:semiHidden/>
    <w:qFormat/>
    <w:uiPriority w:val="0"/>
    <w:rPr>
      <w:rFonts w:ascii="Cambria" w:hAnsi="Cambria" w:eastAsia="宋体" w:cs="Times New Roman"/>
      <w:b/>
      <w:bCs/>
      <w:kern w:val="2"/>
      <w:sz w:val="28"/>
      <w:szCs w:val="28"/>
    </w:rPr>
  </w:style>
  <w:style w:type="character" w:customStyle="1" w:styleId="24">
    <w:name w:val="批注文字 字符"/>
    <w:link w:val="6"/>
    <w:qFormat/>
    <w:locked/>
    <w:uiPriority w:val="99"/>
    <w:rPr>
      <w:rFonts w:ascii="Times New Roman" w:hAnsi="Times New Roman" w:eastAsia="宋体" w:cs="Times New Roman"/>
      <w:sz w:val="20"/>
      <w:szCs w:val="20"/>
    </w:rPr>
  </w:style>
  <w:style w:type="character" w:customStyle="1" w:styleId="25">
    <w:name w:val="批注框文本 字符"/>
    <w:link w:val="7"/>
    <w:semiHidden/>
    <w:qFormat/>
    <w:locked/>
    <w:uiPriority w:val="0"/>
    <w:rPr>
      <w:rFonts w:ascii="Times New Roman" w:hAnsi="Times New Roman" w:eastAsia="宋体" w:cs="Times New Roman"/>
      <w:sz w:val="18"/>
      <w:szCs w:val="18"/>
    </w:rPr>
  </w:style>
  <w:style w:type="character" w:customStyle="1" w:styleId="26">
    <w:name w:val="页脚 字符1"/>
    <w:link w:val="8"/>
    <w:qFormat/>
    <w:locked/>
    <w:uiPriority w:val="99"/>
    <w:rPr>
      <w:rFonts w:cs="Times New Roman"/>
      <w:sz w:val="18"/>
      <w:szCs w:val="18"/>
    </w:rPr>
  </w:style>
  <w:style w:type="character" w:customStyle="1" w:styleId="27">
    <w:name w:val="页眉 字符1"/>
    <w:link w:val="9"/>
    <w:semiHidden/>
    <w:qFormat/>
    <w:locked/>
    <w:uiPriority w:val="0"/>
    <w:rPr>
      <w:rFonts w:cs="Times New Roman"/>
      <w:sz w:val="18"/>
      <w:szCs w:val="18"/>
    </w:rPr>
  </w:style>
  <w:style w:type="character" w:customStyle="1" w:styleId="28">
    <w:name w:val="标题 字符"/>
    <w:link w:val="11"/>
    <w:qFormat/>
    <w:uiPriority w:val="0"/>
    <w:rPr>
      <w:rFonts w:ascii="Calibri Light" w:hAnsi="Calibri Light" w:eastAsia="方正小标宋_GBK" w:cs="Times New Roman"/>
      <w:b/>
      <w:bCs/>
      <w:kern w:val="2"/>
      <w:sz w:val="44"/>
      <w:szCs w:val="32"/>
    </w:rPr>
  </w:style>
  <w:style w:type="character" w:customStyle="1" w:styleId="29">
    <w:name w:val="批注主题 字符"/>
    <w:link w:val="12"/>
    <w:qFormat/>
    <w:uiPriority w:val="0"/>
    <w:rPr>
      <w:rFonts w:ascii="Times New Roman" w:hAnsi="Times New Roman" w:eastAsia="宋体" w:cs="Times New Roman"/>
      <w:b/>
      <w:bCs/>
      <w:kern w:val="2"/>
      <w:sz w:val="21"/>
      <w:szCs w:val="20"/>
    </w:rPr>
  </w:style>
  <w:style w:type="paragraph" w:styleId="30">
    <w:name w:val="No Spacing"/>
    <w:qFormat/>
    <w:uiPriority w:val="0"/>
    <w:pPr>
      <w:adjustRightInd w:val="0"/>
      <w:snapToGrid w:val="0"/>
    </w:pPr>
    <w:rPr>
      <w:rFonts w:ascii="Tahoma" w:hAnsi="Tahoma" w:eastAsia="微软雅黑" w:cs="Times New Roman"/>
      <w:sz w:val="22"/>
      <w:szCs w:val="22"/>
      <w:lang w:val="en-US" w:eastAsia="zh-CN" w:bidi="ar-SA"/>
    </w:rPr>
  </w:style>
  <w:style w:type="character" w:customStyle="1" w:styleId="31">
    <w:name w:val="f101"/>
    <w:qFormat/>
    <w:uiPriority w:val="0"/>
    <w:rPr>
      <w:sz w:val="24"/>
    </w:rPr>
  </w:style>
  <w:style w:type="paragraph" w:customStyle="1" w:styleId="32">
    <w:name w:val="列出段落1"/>
    <w:basedOn w:val="1"/>
    <w:qFormat/>
    <w:uiPriority w:val="0"/>
    <w:pPr>
      <w:widowControl/>
      <w:ind w:firstLine="420"/>
      <w:jc w:val="left"/>
    </w:pPr>
    <w:rPr>
      <w:rFonts w:ascii="宋体" w:hAnsi="宋体" w:cs="宋体"/>
      <w:kern w:val="0"/>
      <w:sz w:val="24"/>
      <w:szCs w:val="24"/>
    </w:rPr>
  </w:style>
  <w:style w:type="paragraph" w:customStyle="1" w:styleId="33">
    <w:name w:val="默认段落字体 Para Char Char Char Char Char Char Char"/>
    <w:basedOn w:val="1"/>
    <w:qFormat/>
    <w:uiPriority w:val="0"/>
    <w:pPr>
      <w:adjustRightInd w:val="0"/>
      <w:spacing w:line="360" w:lineRule="auto"/>
    </w:pPr>
    <w:rPr>
      <w:rFonts w:ascii="Tahoma" w:hAnsi="Tahoma"/>
      <w:kern w:val="0"/>
      <w:sz w:val="24"/>
    </w:rPr>
  </w:style>
  <w:style w:type="paragraph" w:customStyle="1" w:styleId="34">
    <w:name w:val="_Style 32"/>
    <w:semiHidden/>
    <w:qFormat/>
    <w:uiPriority w:val="99"/>
    <w:rPr>
      <w:rFonts w:ascii="Times New Roman" w:hAnsi="Times New Roman" w:eastAsia="宋体" w:cs="Times New Roman"/>
      <w:kern w:val="2"/>
      <w:sz w:val="21"/>
      <w:lang w:val="en-US" w:eastAsia="zh-CN" w:bidi="ar-SA"/>
    </w:rPr>
  </w:style>
  <w:style w:type="paragraph" w:styleId="35">
    <w:name w:val="List Paragraph"/>
    <w:basedOn w:val="1"/>
    <w:qFormat/>
    <w:uiPriority w:val="34"/>
    <w:pPr>
      <w:spacing w:line="240" w:lineRule="auto"/>
    </w:pPr>
    <w:rPr>
      <w:rFonts w:ascii="Calibri" w:hAnsi="Calibri" w:eastAsia="宋体"/>
      <w:sz w:val="21"/>
      <w:szCs w:val="22"/>
    </w:rPr>
  </w:style>
  <w:style w:type="paragraph" w:customStyle="1" w:styleId="36">
    <w:name w:val="标题5"/>
    <w:basedOn w:val="1"/>
    <w:qFormat/>
    <w:uiPriority w:val="0"/>
    <w:pPr>
      <w:snapToGrid w:val="0"/>
      <w:spacing w:before="50" w:after="50" w:line="245" w:lineRule="auto"/>
      <w:ind w:firstLine="0" w:firstLineChars="0"/>
      <w:jc w:val="left"/>
      <w:outlineLvl w:val="4"/>
    </w:pPr>
    <w:rPr>
      <w:rFonts w:eastAsia="方正小标宋简体"/>
      <w:spacing w:val="4"/>
      <w:sz w:val="20"/>
    </w:rPr>
  </w:style>
  <w:style w:type="paragraph" w:customStyle="1" w:styleId="37">
    <w:name w:val="段"/>
    <w:link w:val="38"/>
    <w:qFormat/>
    <w:uiPriority w:val="99"/>
    <w:pPr>
      <w:autoSpaceDE w:val="0"/>
      <w:autoSpaceDN w:val="0"/>
      <w:ind w:firstLine="200"/>
      <w:jc w:val="both"/>
    </w:pPr>
    <w:rPr>
      <w:rFonts w:ascii="Times New Roman" w:hAnsi="Times New Roman" w:eastAsia="宋体" w:cs="Times New Roman"/>
      <w:sz w:val="21"/>
      <w:lang w:val="en-US" w:eastAsia="zh-CN" w:bidi="ar-SA"/>
    </w:rPr>
  </w:style>
  <w:style w:type="character" w:customStyle="1" w:styleId="38">
    <w:name w:val="段 Char"/>
    <w:link w:val="37"/>
    <w:qFormat/>
    <w:uiPriority w:val="99"/>
    <w:rPr>
      <w:rFonts w:ascii="Times New Roman" w:hAnsi="Times New Roman"/>
      <w:sz w:val="21"/>
    </w:rPr>
  </w:style>
  <w:style w:type="paragraph" w:customStyle="1" w:styleId="39">
    <w:name w:val="表格正文文本"/>
    <w:basedOn w:val="1"/>
    <w:qFormat/>
    <w:uiPriority w:val="0"/>
    <w:pPr>
      <w:widowControl/>
      <w:spacing w:line="240" w:lineRule="auto"/>
      <w:ind w:firstLine="0" w:firstLineChars="0"/>
      <w:jc w:val="center"/>
    </w:pPr>
    <w:rPr>
      <w:rFonts w:ascii="Tahoma" w:hAnsi="Tahoma" w:eastAsia="宋体"/>
      <w:kern w:val="0"/>
      <w:sz w:val="18"/>
    </w:rPr>
  </w:style>
  <w:style w:type="paragraph" w:customStyle="1" w:styleId="40">
    <w:name w:val="调查项目"/>
    <w:basedOn w:val="1"/>
    <w:qFormat/>
    <w:uiPriority w:val="0"/>
    <w:pPr>
      <w:widowControl/>
      <w:spacing w:line="240" w:lineRule="auto"/>
      <w:ind w:firstLine="0" w:firstLineChars="0"/>
      <w:jc w:val="left"/>
      <w:outlineLvl w:val="1"/>
    </w:pPr>
    <w:rPr>
      <w:rFonts w:ascii="Tahoma" w:hAnsi="Tahoma" w:eastAsia="黑体"/>
      <w:bCs/>
      <w:color w:val="333399"/>
      <w:kern w:val="0"/>
      <w:sz w:val="18"/>
      <w:szCs w:val="18"/>
    </w:rPr>
  </w:style>
  <w:style w:type="paragraph" w:customStyle="1" w:styleId="41">
    <w:name w:val="列标题"/>
    <w:basedOn w:val="3"/>
    <w:qFormat/>
    <w:uiPriority w:val="0"/>
    <w:pPr>
      <w:keepNext w:val="0"/>
      <w:keepLines w:val="0"/>
      <w:widowControl/>
      <w:spacing w:line="240" w:lineRule="auto"/>
      <w:ind w:firstLine="0" w:firstLineChars="0"/>
      <w:jc w:val="center"/>
    </w:pPr>
    <w:rPr>
      <w:rFonts w:ascii="Tahoma" w:hAnsi="Tahoma" w:eastAsia="黑体"/>
      <w:color w:val="333399"/>
      <w:kern w:val="0"/>
      <w:sz w:val="18"/>
      <w:szCs w:val="18"/>
    </w:rPr>
  </w:style>
  <w:style w:type="character" w:customStyle="1" w:styleId="42">
    <w:name w:val="页脚 Char"/>
    <w:qFormat/>
    <w:uiPriority w:val="99"/>
    <w:rPr>
      <w:rFonts w:ascii="Times New Roman" w:hAnsi="Times New Roman" w:eastAsia="宋体" w:cs="Times New Roman"/>
      <w:sz w:val="18"/>
      <w:szCs w:val="18"/>
    </w:rPr>
  </w:style>
  <w:style w:type="character" w:customStyle="1" w:styleId="43">
    <w:name w:val="页脚 字符"/>
    <w:qFormat/>
    <w:uiPriority w:val="99"/>
  </w:style>
  <w:style w:type="character" w:customStyle="1" w:styleId="44">
    <w:name w:val="页眉 字符"/>
    <w:qFormat/>
    <w:uiPriority w:val="99"/>
  </w:style>
  <w:style w:type="paragraph" w:customStyle="1" w:styleId="45">
    <w:name w:val="列出段落2"/>
    <w:basedOn w:val="1"/>
    <w:qFormat/>
    <w:uiPriority w:val="99"/>
    <w:pPr>
      <w:ind w:firstLine="420"/>
    </w:pPr>
    <w:rPr>
      <w:rFonts w:ascii="Calibri" w:hAnsi="Calibri"/>
      <w:sz w:val="21"/>
      <w:szCs w:val="22"/>
    </w:rPr>
  </w:style>
  <w:style w:type="paragraph" w:customStyle="1" w:styleId="46">
    <w:name w:val="_Style 321"/>
    <w:basedOn w:val="1"/>
    <w:next w:val="35"/>
    <w:qFormat/>
    <w:uiPriority w:val="34"/>
    <w:pPr>
      <w:ind w:firstLine="420"/>
    </w:pPr>
    <w:rPr>
      <w:rFonts w:ascii="Calibri" w:hAnsi="Calibri"/>
      <w:szCs w:val="22"/>
    </w:rPr>
  </w:style>
  <w:style w:type="paragraph" w:customStyle="1" w:styleId="47">
    <w:name w:val="王奕改内文"/>
    <w:basedOn w:val="1"/>
    <w:qFormat/>
    <w:uiPriority w:val="0"/>
    <w:pPr>
      <w:widowControl/>
      <w:spacing w:line="360" w:lineRule="auto"/>
    </w:pPr>
    <w:rPr>
      <w:rFonts w:ascii="宋体" w:hAnsi="宋体"/>
      <w:color w:val="000000"/>
      <w:spacing w:val="-4"/>
      <w:sz w:val="24"/>
    </w:rPr>
  </w:style>
  <w:style w:type="paragraph" w:customStyle="1" w:styleId="48">
    <w:name w:val="Revision"/>
    <w:hidden/>
    <w:unhideWhenUsed/>
    <w:qFormat/>
    <w:uiPriority w:val="99"/>
    <w:rPr>
      <w:rFonts w:ascii="Times New Roman" w:hAnsi="Times New Roman" w:eastAsia="仿宋_GB2312" w:cs="Times New Roman"/>
      <w:kern w:val="2"/>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thtfpc</Company>
  <Pages>23</Pages>
  <Words>9272</Words>
  <Characters>9966</Characters>
  <Lines>85</Lines>
  <Paragraphs>24</Paragraphs>
  <TotalTime>26</TotalTime>
  <ScaleCrop>false</ScaleCrop>
  <LinksUpToDate>false</LinksUpToDate>
  <CharactersWithSpaces>10036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2022-09-15T18:40:00Z</dcterms:created>
  <dc:creator>thtfpc user</dc:creator>
  <cp:lastModifiedBy>河南中心</cp:lastModifiedBy>
  <cp:lastPrinted>2024-10-08T14:47:00Z</cp:lastPrinted>
  <dcterms:modified xsi:type="dcterms:W3CDTF">2025-12-24T09:33:49Z</dcterms:modified>
  <dc:title>微波治疗设备产品注册技术审评要点</dc:title>
  <cp:revision>692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EF1983FAE4164651A5DC94206C95F287_13</vt:lpwstr>
  </property>
  <property fmtid="{D5CDD505-2E9C-101B-9397-08002B2CF9AE}" pid="4" name="KSOTemplateDocerSaveRecord">
    <vt:lpwstr>eyJoZGlkIjoiZDE3ODg3MTM1MDUzYWMwY2RkZjAxNDI0NjgwM2Y0N2IiLCJ1c2VySWQiOiI4OTk2MzE0MzUifQ==</vt:lpwstr>
  </property>
</Properties>
</file>